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078" w:rsidRPr="00167D49" w:rsidRDefault="00704246" w:rsidP="00637FD5">
      <w:pPr>
        <w:keepLines/>
        <w:spacing w:after="120"/>
        <w:jc w:val="center"/>
        <w:rPr>
          <w:rFonts w:ascii="Arial" w:hAnsi="Arial" w:cs="Arial"/>
          <w:b/>
          <w:sz w:val="20"/>
          <w:szCs w:val="20"/>
        </w:rPr>
      </w:pPr>
      <w:bookmarkStart w:id="0" w:name="_GoBack"/>
      <w:bookmarkEnd w:id="0"/>
      <w:r>
        <w:rPr>
          <w:rFonts w:ascii="Arial" w:hAnsi="Arial" w:cs="Arial"/>
          <w:b/>
          <w:sz w:val="20"/>
          <w:szCs w:val="20"/>
        </w:rPr>
        <w:t xml:space="preserve">For background information, please see </w:t>
      </w:r>
      <w:hyperlink r:id="rId12" w:history="1">
        <w:r w:rsidRPr="00704246">
          <w:rPr>
            <w:rStyle w:val="Hyperlink"/>
            <w:rFonts w:ascii="Arial" w:hAnsi="Arial" w:cs="Arial"/>
            <w:b/>
            <w:sz w:val="20"/>
            <w:szCs w:val="20"/>
          </w:rPr>
          <w:t>CL 2023/09/OCS-FICS</w:t>
        </w:r>
      </w:hyperlink>
    </w:p>
    <w:p w:rsidR="00704246" w:rsidRDefault="00704246" w:rsidP="00555D92">
      <w:pPr>
        <w:spacing w:after="40"/>
        <w:jc w:val="right"/>
        <w:rPr>
          <w:rFonts w:ascii="Arial" w:hAnsi="Arial" w:cs="Arial"/>
          <w:b/>
          <w:sz w:val="20"/>
          <w:szCs w:val="20"/>
          <w:lang w:val="en-NZ"/>
        </w:rPr>
      </w:pPr>
    </w:p>
    <w:p w:rsidR="004542B7" w:rsidRDefault="00620A5E" w:rsidP="00704246">
      <w:pPr>
        <w:widowControl w:val="0"/>
        <w:spacing w:after="120"/>
        <w:jc w:val="center"/>
        <w:rPr>
          <w:rFonts w:ascii="Arial" w:eastAsia="Calibri" w:hAnsi="Arial" w:cs="Arial"/>
          <w:b/>
          <w:sz w:val="20"/>
          <w:szCs w:val="20"/>
          <w:lang w:val="en-NZ"/>
        </w:rPr>
      </w:pPr>
      <w:bookmarkStart w:id="1" w:name="_Hlk72517508"/>
      <w:r>
        <w:rPr>
          <w:rFonts w:ascii="Arial" w:eastAsia="Calibri" w:hAnsi="Arial" w:cs="Arial"/>
          <w:b/>
          <w:sz w:val="20"/>
          <w:szCs w:val="20"/>
          <w:lang w:val="en-NZ"/>
        </w:rPr>
        <w:t xml:space="preserve">Proposed </w:t>
      </w:r>
      <w:r w:rsidR="004542B7" w:rsidRPr="004542B7">
        <w:rPr>
          <w:rFonts w:ascii="Arial" w:eastAsia="Calibri" w:hAnsi="Arial" w:cs="Arial"/>
          <w:b/>
          <w:sz w:val="20"/>
          <w:szCs w:val="20"/>
          <w:lang w:val="en-NZ"/>
        </w:rPr>
        <w:t>Draft Guidelines on Recognition and Maintenance of Equivalence of National Food Control Systems (NFCS)</w:t>
      </w:r>
    </w:p>
    <w:p w:rsidR="00620A5E" w:rsidRPr="004542B7" w:rsidRDefault="00620A5E" w:rsidP="00637FD5">
      <w:pPr>
        <w:widowControl w:val="0"/>
        <w:spacing w:after="120"/>
        <w:jc w:val="center"/>
        <w:rPr>
          <w:rFonts w:ascii="Arial" w:eastAsia="Calibri" w:hAnsi="Arial" w:cs="Arial"/>
          <w:b/>
          <w:sz w:val="20"/>
          <w:szCs w:val="20"/>
          <w:lang w:val="en-NZ"/>
        </w:rPr>
      </w:pPr>
      <w:r>
        <w:rPr>
          <w:rFonts w:ascii="Arial" w:eastAsia="Calibri" w:hAnsi="Arial" w:cs="Arial"/>
          <w:b/>
          <w:sz w:val="20"/>
          <w:szCs w:val="20"/>
          <w:lang w:val="en-NZ"/>
        </w:rPr>
        <w:t>(</w:t>
      </w:r>
      <w:r w:rsidR="00704246">
        <w:rPr>
          <w:rFonts w:ascii="Arial" w:eastAsia="Calibri" w:hAnsi="Arial" w:cs="Arial"/>
          <w:b/>
          <w:sz w:val="20"/>
          <w:szCs w:val="20"/>
          <w:lang w:val="en-NZ"/>
        </w:rPr>
        <w:t xml:space="preserve">at </w:t>
      </w:r>
      <w:r>
        <w:rPr>
          <w:rFonts w:ascii="Arial" w:eastAsia="Calibri" w:hAnsi="Arial" w:cs="Arial"/>
          <w:b/>
          <w:sz w:val="20"/>
          <w:szCs w:val="20"/>
          <w:lang w:val="en-NZ"/>
        </w:rPr>
        <w:t>Step 3)</w:t>
      </w:r>
    </w:p>
    <w:p w:rsidR="004542B7" w:rsidRPr="004542B7" w:rsidRDefault="004542B7" w:rsidP="00637FD5">
      <w:pPr>
        <w:widowControl w:val="0"/>
        <w:spacing w:after="120"/>
        <w:jc w:val="both"/>
        <w:rPr>
          <w:rFonts w:ascii="Arial" w:eastAsia="Calibri" w:hAnsi="Arial" w:cs="Arial"/>
          <w:b/>
          <w:sz w:val="20"/>
          <w:szCs w:val="20"/>
          <w:lang w:val="en-NZ"/>
        </w:rPr>
      </w:pPr>
      <w:r w:rsidRPr="004542B7">
        <w:rPr>
          <w:rFonts w:ascii="Arial" w:eastAsia="Calibri" w:hAnsi="Arial" w:cs="Arial"/>
          <w:b/>
          <w:sz w:val="20"/>
          <w:szCs w:val="20"/>
          <w:lang w:val="en-NZ"/>
        </w:rPr>
        <w:t xml:space="preserve">SECTION 1 – PREAMBLE </w:t>
      </w:r>
    </w:p>
    <w:p w:rsidR="004542B7" w:rsidRPr="004542B7" w:rsidRDefault="004542B7" w:rsidP="00637FD5">
      <w:pPr>
        <w:widowControl w:val="0"/>
        <w:spacing w:after="120"/>
        <w:jc w:val="both"/>
        <w:rPr>
          <w:rFonts w:ascii="Arial" w:eastAsia="Calibri" w:hAnsi="Arial" w:cs="Arial"/>
          <w:sz w:val="20"/>
          <w:szCs w:val="20"/>
        </w:rPr>
      </w:pPr>
      <w:r w:rsidRPr="004542B7">
        <w:rPr>
          <w:rFonts w:ascii="Arial" w:eastAsia="Calibri" w:hAnsi="Arial" w:cs="Arial"/>
          <w:sz w:val="20"/>
          <w:szCs w:val="20"/>
        </w:rPr>
        <w:t>1</w:t>
      </w:r>
      <w:r w:rsidRPr="004542B7">
        <w:rPr>
          <w:rFonts w:ascii="Arial" w:eastAsia="Calibri" w:hAnsi="Arial" w:cs="Arial"/>
          <w:sz w:val="20"/>
          <w:szCs w:val="20"/>
        </w:rPr>
        <w:tab/>
        <w:t>Recognition of the equivalence of the whole or a part of an exporting country’s National Food Control System (NFCS)</w:t>
      </w:r>
      <w:r w:rsidRPr="004542B7">
        <w:rPr>
          <w:rFonts w:ascii="Arial" w:eastAsia="Calibri" w:hAnsi="Arial" w:cs="Arial"/>
          <w:sz w:val="20"/>
          <w:szCs w:val="20"/>
          <w:vertAlign w:val="superscript"/>
        </w:rPr>
        <w:footnoteReference w:id="2"/>
      </w:r>
      <w:r w:rsidRPr="004542B7">
        <w:rPr>
          <w:rFonts w:ascii="Arial" w:eastAsia="Calibri" w:hAnsi="Arial" w:cs="Arial"/>
          <w:sz w:val="20"/>
          <w:szCs w:val="20"/>
        </w:rPr>
        <w:t>, as relevant to the trade in foods under consideration, can provide an effective means for minimizing unnecessary duplication of controls, while protecting the health of consumers and ensuring fair practices in the food trade.  The recognition of equivalence, where it occurs, should result in positive changes to the conditions of trade, and facilitate the more efficient and effective use of resources in the importing and exporting countries (for example: recognition of lists of eligible export establishments; alternative processing and inspection procedures; or a reduced intensity and frequency of routine port of entry inspection)</w:t>
      </w:r>
      <w:bookmarkStart w:id="2" w:name="_Hlk72393541"/>
      <w:r w:rsidRPr="004542B7">
        <w:rPr>
          <w:rFonts w:ascii="Arial" w:eastAsia="Calibri" w:hAnsi="Arial" w:cs="Arial"/>
          <w:sz w:val="20"/>
          <w:szCs w:val="20"/>
        </w:rPr>
        <w:t>.</w:t>
      </w:r>
    </w:p>
    <w:p w:rsidR="004542B7" w:rsidRPr="004542B7" w:rsidRDefault="004542B7" w:rsidP="00637FD5">
      <w:pPr>
        <w:spacing w:after="120"/>
        <w:jc w:val="both"/>
        <w:rPr>
          <w:rFonts w:ascii="Arial" w:hAnsi="Arial" w:cs="Arial"/>
          <w:noProof/>
          <w:color w:val="000000" w:themeColor="text1"/>
          <w:sz w:val="20"/>
          <w:szCs w:val="20"/>
          <w:lang w:val="en-US"/>
        </w:rPr>
      </w:pPr>
      <w:bookmarkStart w:id="3" w:name="_Hlk72403387"/>
      <w:r w:rsidRPr="004542B7">
        <w:rPr>
          <w:rFonts w:ascii="Arial" w:hAnsi="Arial" w:cs="Arial"/>
          <w:noProof/>
          <w:color w:val="000000" w:themeColor="text1"/>
          <w:sz w:val="20"/>
          <w:szCs w:val="20"/>
          <w:lang w:val="en-US"/>
        </w:rPr>
        <w:t>2</w:t>
      </w:r>
      <w:r w:rsidRPr="004542B7">
        <w:rPr>
          <w:rFonts w:ascii="Arial" w:hAnsi="Arial" w:cs="Arial"/>
          <w:noProof/>
          <w:color w:val="000000" w:themeColor="text1"/>
          <w:sz w:val="20"/>
          <w:szCs w:val="20"/>
          <w:lang w:val="en-US"/>
        </w:rPr>
        <w:tab/>
        <w:t xml:space="preserve">These guidelines are intended to be read in conjunction with </w:t>
      </w:r>
      <w:r w:rsidRPr="004542B7">
        <w:rPr>
          <w:rFonts w:ascii="Arial" w:hAnsi="Arial" w:cs="Arial"/>
          <w:noProof/>
          <w:color w:val="000000" w:themeColor="text1"/>
          <w:sz w:val="20"/>
          <w:szCs w:val="20"/>
          <w:lang w:val="en-NZ"/>
        </w:rPr>
        <w:t xml:space="preserve">other existing Codex text including </w:t>
      </w:r>
      <w:r w:rsidRPr="004542B7">
        <w:rPr>
          <w:rFonts w:ascii="Arial" w:hAnsi="Arial" w:cs="Arial"/>
          <w:noProof/>
          <w:color w:val="000000" w:themeColor="text1"/>
          <w:sz w:val="20"/>
          <w:szCs w:val="20"/>
          <w:lang w:val="en-US"/>
        </w:rPr>
        <w:t xml:space="preserve">the </w:t>
      </w:r>
      <w:r w:rsidRPr="004542B7">
        <w:rPr>
          <w:rFonts w:ascii="Arial" w:hAnsi="Arial" w:cs="Arial"/>
          <w:i/>
          <w:noProof/>
          <w:color w:val="000000" w:themeColor="text1"/>
          <w:sz w:val="20"/>
          <w:szCs w:val="20"/>
          <w:lang w:val="en-US"/>
        </w:rPr>
        <w:t>Guidelines for the Design, Operation, Assesment and Accreditation of Food Import and Export Inspection and Certification Systems</w:t>
      </w:r>
      <w:r w:rsidRPr="004542B7">
        <w:rPr>
          <w:rFonts w:ascii="Arial" w:hAnsi="Arial" w:cs="Arial"/>
          <w:noProof/>
          <w:color w:val="000000" w:themeColor="text1"/>
          <w:sz w:val="20"/>
          <w:szCs w:val="20"/>
          <w:lang w:val="en-US"/>
        </w:rPr>
        <w:t xml:space="preserve"> (CAC/GL 26-1997), and the Guidelines for </w:t>
      </w:r>
      <w:r w:rsidRPr="004542B7">
        <w:rPr>
          <w:rFonts w:ascii="Arial" w:hAnsi="Arial" w:cs="Arial"/>
          <w:i/>
          <w:noProof/>
          <w:color w:val="000000" w:themeColor="text1"/>
          <w:sz w:val="20"/>
          <w:szCs w:val="20"/>
          <w:lang w:val="en-US"/>
        </w:rPr>
        <w:t>Food Import Control Systems</w:t>
      </w:r>
      <w:r w:rsidRPr="004542B7">
        <w:rPr>
          <w:rFonts w:ascii="Arial" w:hAnsi="Arial" w:cs="Arial"/>
          <w:noProof/>
          <w:color w:val="000000" w:themeColor="text1"/>
          <w:sz w:val="20"/>
          <w:szCs w:val="20"/>
          <w:lang w:val="en-US"/>
        </w:rPr>
        <w:t xml:space="preserve"> (CAC/GL 47-2003). </w:t>
      </w:r>
    </w:p>
    <w:bookmarkEnd w:id="2"/>
    <w:bookmarkEnd w:id="3"/>
    <w:p w:rsidR="004542B7" w:rsidRPr="004542B7" w:rsidRDefault="004542B7" w:rsidP="00637FD5">
      <w:pPr>
        <w:widowControl w:val="0"/>
        <w:spacing w:after="120"/>
        <w:jc w:val="both"/>
        <w:rPr>
          <w:rFonts w:ascii="Arial" w:eastAsia="Calibri" w:hAnsi="Arial" w:cs="Arial"/>
          <w:sz w:val="20"/>
          <w:szCs w:val="20"/>
          <w:lang w:val="en-NZ"/>
        </w:rPr>
      </w:pPr>
      <w:r w:rsidRPr="004542B7">
        <w:rPr>
          <w:rFonts w:ascii="Arial" w:eastAsia="Calibri" w:hAnsi="Arial" w:cs="Arial"/>
          <w:sz w:val="20"/>
          <w:szCs w:val="20"/>
          <w:lang w:val="en-NZ"/>
        </w:rPr>
        <w:t>3</w:t>
      </w:r>
      <w:r w:rsidRPr="004542B7">
        <w:rPr>
          <w:rFonts w:ascii="Arial" w:eastAsia="Calibri" w:hAnsi="Arial" w:cs="Arial"/>
          <w:sz w:val="20"/>
          <w:szCs w:val="20"/>
          <w:lang w:val="en-NZ"/>
        </w:rPr>
        <w:tab/>
        <w:t>The consideration, assessment, recognition, and maintenance of the equivalence of one country’s NFCS in whole or the relevant part is independent of any reciprocal process occurring.  Reciprocal considerations, where requested, may have different scopes and durations and may also arrive at different conclusions.</w:t>
      </w:r>
    </w:p>
    <w:bookmarkEnd w:id="1"/>
    <w:p w:rsidR="004542B7" w:rsidRPr="004542B7" w:rsidRDefault="004542B7" w:rsidP="00637FD5">
      <w:pPr>
        <w:widowControl w:val="0"/>
        <w:spacing w:after="120"/>
        <w:jc w:val="both"/>
        <w:rPr>
          <w:rFonts w:ascii="Arial" w:eastAsia="Calibri" w:hAnsi="Arial" w:cs="Arial"/>
          <w:sz w:val="20"/>
          <w:szCs w:val="20"/>
          <w:lang w:val="en-NZ"/>
        </w:rPr>
      </w:pPr>
      <w:r w:rsidRPr="004542B7">
        <w:rPr>
          <w:rFonts w:ascii="Arial" w:eastAsia="Calibri" w:hAnsi="Arial" w:cs="Arial"/>
          <w:b/>
          <w:sz w:val="20"/>
          <w:szCs w:val="20"/>
          <w:lang w:val="en-NZ"/>
        </w:rPr>
        <w:t>SECTION 2 –</w:t>
      </w:r>
      <w:r w:rsidRPr="004542B7">
        <w:rPr>
          <w:rFonts w:ascii="Arial" w:eastAsia="Calibri" w:hAnsi="Arial" w:cs="Arial"/>
          <w:sz w:val="20"/>
          <w:szCs w:val="20"/>
          <w:lang w:val="en-NZ"/>
        </w:rPr>
        <w:t xml:space="preserve"> </w:t>
      </w:r>
      <w:r w:rsidRPr="004542B7">
        <w:rPr>
          <w:rFonts w:ascii="Arial" w:eastAsia="Calibri" w:hAnsi="Arial" w:cs="Arial"/>
          <w:b/>
          <w:sz w:val="20"/>
          <w:szCs w:val="20"/>
          <w:lang w:val="en-NZ"/>
        </w:rPr>
        <w:t xml:space="preserve">PURPOSE </w:t>
      </w:r>
    </w:p>
    <w:p w:rsidR="004542B7" w:rsidRPr="004542B7" w:rsidRDefault="004542B7" w:rsidP="00637FD5">
      <w:pPr>
        <w:widowControl w:val="0"/>
        <w:spacing w:after="120"/>
        <w:jc w:val="both"/>
        <w:rPr>
          <w:rFonts w:ascii="Arial" w:eastAsia="Calibri" w:hAnsi="Arial" w:cs="Arial"/>
          <w:sz w:val="20"/>
          <w:szCs w:val="20"/>
          <w:lang w:val="en-NZ"/>
        </w:rPr>
      </w:pPr>
      <w:r w:rsidRPr="004542B7">
        <w:rPr>
          <w:rFonts w:ascii="Arial" w:eastAsia="Calibri" w:hAnsi="Arial" w:cs="Arial"/>
          <w:sz w:val="20"/>
          <w:szCs w:val="20"/>
          <w:lang w:val="en-NZ"/>
        </w:rPr>
        <w:t>4</w:t>
      </w:r>
      <w:r w:rsidRPr="004542B7">
        <w:rPr>
          <w:rFonts w:ascii="Arial" w:eastAsia="Calibri" w:hAnsi="Arial" w:cs="Arial"/>
          <w:sz w:val="20"/>
          <w:szCs w:val="20"/>
          <w:lang w:val="en-NZ"/>
        </w:rPr>
        <w:tab/>
        <w:t>These guidelines provide practical guidance, information and recommendations for importing and exporting countries to use when considering the appropriateness and/or scope of, as well as the process for assessing, recognising and maintaining the equivalence of</w:t>
      </w:r>
      <w:r w:rsidRPr="004542B7">
        <w:rPr>
          <w:rFonts w:ascii="Arial" w:eastAsia="Calibri" w:hAnsi="Arial" w:cs="Arial"/>
          <w:sz w:val="20"/>
          <w:szCs w:val="20"/>
        </w:rPr>
        <w:t xml:space="preserve"> </w:t>
      </w:r>
      <w:r w:rsidRPr="004542B7">
        <w:rPr>
          <w:rFonts w:ascii="Arial" w:eastAsia="Calibri" w:hAnsi="Arial" w:cs="Arial"/>
          <w:sz w:val="20"/>
          <w:szCs w:val="20"/>
          <w:lang w:val="en-NZ"/>
        </w:rPr>
        <w:t>the whole or a part</w:t>
      </w:r>
      <w:r w:rsidRPr="004542B7">
        <w:rPr>
          <w:rFonts w:ascii="Arial" w:eastAsia="Calibri" w:hAnsi="Arial" w:cs="Arial"/>
          <w:sz w:val="20"/>
          <w:szCs w:val="20"/>
          <w:vertAlign w:val="superscript"/>
          <w:lang w:val="en-NZ"/>
        </w:rPr>
        <w:footnoteReference w:id="3"/>
      </w:r>
      <w:r w:rsidRPr="004542B7">
        <w:rPr>
          <w:rFonts w:ascii="Arial" w:eastAsia="Calibri" w:hAnsi="Arial" w:cs="Arial"/>
          <w:sz w:val="20"/>
          <w:szCs w:val="20"/>
          <w:lang w:val="en-NZ"/>
        </w:rPr>
        <w:t xml:space="preserve"> of the NFCS at the system level.</w:t>
      </w:r>
    </w:p>
    <w:p w:rsidR="004542B7" w:rsidRPr="004542B7" w:rsidRDefault="004542B7" w:rsidP="00637FD5">
      <w:pPr>
        <w:spacing w:after="120"/>
        <w:jc w:val="both"/>
        <w:rPr>
          <w:rFonts w:ascii="Arial" w:eastAsia="Calibri" w:hAnsi="Arial" w:cs="Arial"/>
          <w:bCs/>
          <w:sz w:val="20"/>
          <w:szCs w:val="20"/>
          <w:lang w:val="en-NZ"/>
        </w:rPr>
      </w:pPr>
      <w:r w:rsidRPr="004542B7">
        <w:rPr>
          <w:rFonts w:ascii="Arial" w:eastAsia="Calibri" w:hAnsi="Arial" w:cs="Arial"/>
          <w:sz w:val="20"/>
          <w:szCs w:val="20"/>
          <w:lang w:val="en-NZ"/>
        </w:rPr>
        <w:t>5</w:t>
      </w:r>
      <w:r w:rsidRPr="004542B7">
        <w:rPr>
          <w:rFonts w:ascii="Arial" w:eastAsia="Calibri" w:hAnsi="Arial" w:cs="Arial"/>
          <w:sz w:val="20"/>
          <w:szCs w:val="20"/>
          <w:lang w:val="en-NZ"/>
        </w:rPr>
        <w:tab/>
        <w:t>A request for a recognition of equivalence may relate to either the protection of the health of consumers or ensuring fair practices in the food trade, or both, as relevant to the trade in foods and the conditions of trade covered by the request.</w:t>
      </w:r>
    </w:p>
    <w:p w:rsidR="004542B7" w:rsidRPr="004542B7" w:rsidRDefault="004542B7" w:rsidP="00637FD5">
      <w:pPr>
        <w:widowControl w:val="0"/>
        <w:spacing w:after="120"/>
        <w:jc w:val="both"/>
        <w:rPr>
          <w:rFonts w:ascii="Arial" w:eastAsia="Calibri" w:hAnsi="Arial" w:cs="Arial"/>
          <w:sz w:val="20"/>
          <w:szCs w:val="20"/>
          <w:lang w:val="en-US"/>
        </w:rPr>
      </w:pPr>
      <w:r w:rsidRPr="004542B7">
        <w:rPr>
          <w:rFonts w:ascii="Arial" w:eastAsia="Calibri" w:hAnsi="Arial" w:cs="Arial"/>
          <w:b/>
          <w:sz w:val="20"/>
          <w:szCs w:val="20"/>
          <w:lang w:val="en-NZ"/>
        </w:rPr>
        <w:t>SECTION 3 – DEFINITIONS</w:t>
      </w:r>
      <w:r w:rsidRPr="004542B7">
        <w:rPr>
          <w:rFonts w:ascii="Arial" w:eastAsia="Calibri" w:hAnsi="Arial" w:cs="Arial"/>
          <w:b/>
          <w:sz w:val="20"/>
          <w:szCs w:val="20"/>
          <w:lang w:val="en-US"/>
        </w:rPr>
        <w:t xml:space="preserve"> </w:t>
      </w:r>
    </w:p>
    <w:p w:rsidR="004542B7" w:rsidRPr="004542B7" w:rsidRDefault="004542B7" w:rsidP="00637FD5">
      <w:pPr>
        <w:widowControl w:val="0"/>
        <w:spacing w:after="120"/>
        <w:jc w:val="both"/>
        <w:rPr>
          <w:rFonts w:ascii="Arial" w:eastAsia="Calibri" w:hAnsi="Arial" w:cs="Arial"/>
          <w:sz w:val="20"/>
          <w:szCs w:val="20"/>
        </w:rPr>
      </w:pPr>
      <w:r w:rsidRPr="004542B7">
        <w:rPr>
          <w:rFonts w:ascii="Arial" w:eastAsia="Calibri" w:hAnsi="Arial" w:cs="Arial"/>
          <w:sz w:val="20"/>
          <w:szCs w:val="20"/>
          <w:u w:val="single"/>
        </w:rPr>
        <w:t>Equivalence of NFCS</w:t>
      </w:r>
      <w:r w:rsidRPr="004542B7">
        <w:rPr>
          <w:rFonts w:ascii="Arial" w:eastAsia="Calibri" w:hAnsi="Arial" w:cs="Arial"/>
          <w:sz w:val="20"/>
          <w:szCs w:val="20"/>
        </w:rPr>
        <w:t>: The capability of different NFCS or parts of NFCS to achieve the same objectives.</w:t>
      </w:r>
    </w:p>
    <w:p w:rsidR="004542B7" w:rsidRPr="004542B7" w:rsidRDefault="004542B7" w:rsidP="00637FD5">
      <w:pPr>
        <w:widowControl w:val="0"/>
        <w:spacing w:after="120"/>
        <w:jc w:val="both"/>
        <w:rPr>
          <w:rFonts w:ascii="Arial" w:eastAsia="Calibri" w:hAnsi="Arial" w:cs="Arial"/>
          <w:sz w:val="20"/>
          <w:szCs w:val="20"/>
        </w:rPr>
      </w:pPr>
      <w:r w:rsidRPr="004542B7">
        <w:rPr>
          <w:rFonts w:ascii="Arial" w:eastAsia="Calibri" w:hAnsi="Arial" w:cs="Arial"/>
          <w:sz w:val="20"/>
          <w:szCs w:val="20"/>
          <w:u w:val="single"/>
        </w:rPr>
        <w:t>Outcome:</w:t>
      </w:r>
      <w:r w:rsidRPr="004542B7">
        <w:rPr>
          <w:rFonts w:ascii="Arial" w:eastAsia="Calibri" w:hAnsi="Arial" w:cs="Arial"/>
          <w:sz w:val="20"/>
          <w:szCs w:val="20"/>
        </w:rPr>
        <w:t xml:space="preserve"> Intended effects or results that contribute to achieving </w:t>
      </w:r>
      <w:bookmarkStart w:id="4" w:name="_Hlk6902820"/>
      <w:r w:rsidRPr="004542B7">
        <w:rPr>
          <w:rFonts w:ascii="Arial" w:eastAsia="Calibri" w:hAnsi="Arial" w:cs="Arial"/>
          <w:sz w:val="20"/>
          <w:szCs w:val="20"/>
        </w:rPr>
        <w:t xml:space="preserve">the relevant NFCS </w:t>
      </w:r>
      <w:bookmarkEnd w:id="4"/>
      <w:r w:rsidRPr="004542B7">
        <w:rPr>
          <w:rFonts w:ascii="Arial" w:eastAsia="Calibri" w:hAnsi="Arial" w:cs="Arial"/>
          <w:sz w:val="20"/>
          <w:szCs w:val="20"/>
        </w:rPr>
        <w:t xml:space="preserve">objectives.  </w:t>
      </w:r>
    </w:p>
    <w:p w:rsidR="004542B7" w:rsidRPr="004542B7" w:rsidRDefault="004542B7" w:rsidP="00637FD5">
      <w:pPr>
        <w:widowControl w:val="0"/>
        <w:spacing w:after="120"/>
        <w:jc w:val="both"/>
        <w:rPr>
          <w:rFonts w:ascii="Arial" w:eastAsia="Calibri" w:hAnsi="Arial" w:cs="Arial"/>
          <w:sz w:val="20"/>
          <w:szCs w:val="20"/>
        </w:rPr>
      </w:pPr>
      <w:r w:rsidRPr="004542B7">
        <w:rPr>
          <w:rFonts w:ascii="Arial" w:eastAsia="Calibri" w:hAnsi="Arial" w:cs="Arial"/>
          <w:sz w:val="20"/>
          <w:szCs w:val="20"/>
          <w:u w:val="single"/>
        </w:rPr>
        <w:t>Decision Criteria</w:t>
      </w:r>
      <w:r w:rsidRPr="004542B7">
        <w:rPr>
          <w:rFonts w:ascii="Arial" w:eastAsia="Calibri" w:hAnsi="Arial" w:cs="Arial"/>
          <w:sz w:val="20"/>
          <w:szCs w:val="20"/>
        </w:rPr>
        <w:t>: Those factors used to objectively determine whether the exporting country’s NFCS or the relevant part achieve the objectives of the importing country’s NFCS or the relevant part for the products under consideration.</w:t>
      </w:r>
    </w:p>
    <w:p w:rsidR="004542B7" w:rsidRPr="004542B7" w:rsidRDefault="004542B7" w:rsidP="00637FD5">
      <w:pPr>
        <w:widowControl w:val="0"/>
        <w:spacing w:after="120"/>
        <w:jc w:val="both"/>
        <w:rPr>
          <w:rFonts w:ascii="Arial" w:eastAsia="Calibri" w:hAnsi="Arial" w:cs="Arial"/>
          <w:b/>
          <w:sz w:val="20"/>
          <w:szCs w:val="20"/>
          <w:lang w:val="en-US"/>
        </w:rPr>
      </w:pPr>
      <w:r w:rsidRPr="004542B7">
        <w:rPr>
          <w:rFonts w:ascii="Arial" w:eastAsia="Calibri" w:hAnsi="Arial" w:cs="Arial"/>
          <w:b/>
          <w:sz w:val="20"/>
          <w:szCs w:val="20"/>
          <w:lang w:val="en-US"/>
        </w:rPr>
        <w:t xml:space="preserve">SECTION 4 – PRINCIPLES </w:t>
      </w:r>
    </w:p>
    <w:p w:rsidR="004542B7" w:rsidRPr="004542B7" w:rsidRDefault="004542B7" w:rsidP="00637FD5">
      <w:pPr>
        <w:widowControl w:val="0"/>
        <w:spacing w:after="120"/>
        <w:jc w:val="both"/>
        <w:rPr>
          <w:rFonts w:ascii="Arial" w:eastAsia="Calibri" w:hAnsi="Arial" w:cs="Arial"/>
          <w:sz w:val="20"/>
          <w:szCs w:val="20"/>
        </w:rPr>
      </w:pPr>
      <w:r w:rsidRPr="004542B7">
        <w:rPr>
          <w:rFonts w:ascii="Arial" w:eastAsia="Calibri" w:hAnsi="Arial" w:cs="Arial"/>
          <w:sz w:val="20"/>
          <w:szCs w:val="20"/>
        </w:rPr>
        <w:t>6</w:t>
      </w:r>
      <w:r w:rsidRPr="004542B7">
        <w:rPr>
          <w:rFonts w:ascii="Arial" w:eastAsia="Calibri" w:hAnsi="Arial" w:cs="Arial"/>
          <w:sz w:val="20"/>
          <w:szCs w:val="20"/>
        </w:rPr>
        <w:tab/>
        <w:t xml:space="preserve">Consideration of the recognition of the equivalence of a NFCS should be based on the application of the following principles: </w:t>
      </w:r>
    </w:p>
    <w:p w:rsidR="004542B7" w:rsidRPr="004542B7" w:rsidRDefault="004542B7" w:rsidP="00637FD5">
      <w:pPr>
        <w:widowControl w:val="0"/>
        <w:spacing w:after="120"/>
        <w:jc w:val="both"/>
        <w:rPr>
          <w:rFonts w:ascii="Arial" w:eastAsia="Calibri" w:hAnsi="Arial" w:cs="Arial"/>
          <w:b/>
          <w:i/>
          <w:sz w:val="20"/>
          <w:szCs w:val="20"/>
        </w:rPr>
      </w:pPr>
      <w:r w:rsidRPr="004542B7">
        <w:rPr>
          <w:rFonts w:ascii="Arial" w:eastAsia="Calibri" w:hAnsi="Arial" w:cs="Arial"/>
          <w:b/>
          <w:i/>
          <w:sz w:val="20"/>
          <w:szCs w:val="20"/>
        </w:rPr>
        <w:t>Equivalence of National Food Control Systems (NFCS)</w:t>
      </w:r>
    </w:p>
    <w:p w:rsidR="004542B7" w:rsidRPr="004542B7" w:rsidRDefault="004542B7" w:rsidP="00637FD5">
      <w:pPr>
        <w:widowControl w:val="0"/>
        <w:spacing w:after="120"/>
        <w:jc w:val="both"/>
        <w:rPr>
          <w:rFonts w:ascii="Arial" w:eastAsia="Calibri" w:hAnsi="Arial" w:cs="Arial"/>
          <w:sz w:val="20"/>
          <w:szCs w:val="20"/>
        </w:rPr>
      </w:pPr>
      <w:bookmarkStart w:id="5" w:name="_Hlk94594004"/>
      <w:r w:rsidRPr="004542B7">
        <w:rPr>
          <w:rFonts w:ascii="Arial" w:eastAsia="Calibri" w:hAnsi="Arial" w:cs="Arial"/>
          <w:sz w:val="20"/>
          <w:szCs w:val="20"/>
        </w:rPr>
        <w:t>a.</w:t>
      </w:r>
      <w:r w:rsidRPr="004542B7">
        <w:rPr>
          <w:rFonts w:ascii="Arial" w:eastAsia="Calibri" w:hAnsi="Arial" w:cs="Arial"/>
          <w:sz w:val="20"/>
          <w:szCs w:val="20"/>
        </w:rPr>
        <w:tab/>
        <w:t>Countries should recognize that NFCS’s, or the relevant parts thereof, of importing and exporting countries, although designed and structured differently, may be</w:t>
      </w:r>
      <w:r w:rsidRPr="004542B7" w:rsidDel="00876E5E">
        <w:rPr>
          <w:rFonts w:ascii="Arial" w:eastAsia="Calibri" w:hAnsi="Arial" w:cs="Arial"/>
          <w:sz w:val="20"/>
          <w:szCs w:val="20"/>
        </w:rPr>
        <w:t xml:space="preserve"> </w:t>
      </w:r>
      <w:r w:rsidRPr="004542B7">
        <w:rPr>
          <w:rFonts w:ascii="Arial" w:eastAsia="Calibri" w:hAnsi="Arial" w:cs="Arial"/>
          <w:sz w:val="20"/>
          <w:szCs w:val="20"/>
        </w:rPr>
        <w:t xml:space="preserve">capable of achieving the same objectives, and related outcomes or level of protection, with respect to protecting the health of consumers and ensuring fair practices in the food trade and can therefore be found to be equivalent. </w:t>
      </w:r>
    </w:p>
    <w:bookmarkEnd w:id="5"/>
    <w:p w:rsidR="004542B7" w:rsidRPr="004542B7" w:rsidRDefault="004542B7" w:rsidP="00637FD5">
      <w:pPr>
        <w:widowControl w:val="0"/>
        <w:spacing w:after="120"/>
        <w:jc w:val="both"/>
        <w:rPr>
          <w:rFonts w:ascii="Arial" w:eastAsia="Calibri" w:hAnsi="Arial" w:cs="Arial"/>
          <w:b/>
          <w:i/>
          <w:sz w:val="20"/>
          <w:szCs w:val="20"/>
        </w:rPr>
      </w:pPr>
      <w:r w:rsidRPr="004542B7">
        <w:rPr>
          <w:rFonts w:ascii="Arial" w:eastAsia="Calibri" w:hAnsi="Arial" w:cs="Arial"/>
          <w:b/>
          <w:i/>
          <w:sz w:val="20"/>
          <w:szCs w:val="20"/>
        </w:rPr>
        <w:t>Experience, Knowledge and Confidence</w:t>
      </w:r>
    </w:p>
    <w:p w:rsidR="004542B7" w:rsidRPr="004542B7" w:rsidRDefault="004542B7" w:rsidP="00637FD5">
      <w:pPr>
        <w:widowControl w:val="0"/>
        <w:spacing w:after="120"/>
        <w:jc w:val="both"/>
        <w:rPr>
          <w:rFonts w:ascii="Arial" w:eastAsia="Calibri" w:hAnsi="Arial" w:cs="Arial"/>
          <w:sz w:val="20"/>
          <w:szCs w:val="20"/>
        </w:rPr>
      </w:pPr>
      <w:r w:rsidRPr="004542B7">
        <w:rPr>
          <w:rFonts w:ascii="Arial" w:eastAsia="Calibri" w:hAnsi="Arial" w:cs="Arial"/>
          <w:sz w:val="20"/>
          <w:szCs w:val="20"/>
        </w:rPr>
        <w:t>b.</w:t>
      </w:r>
      <w:r w:rsidRPr="004542B7">
        <w:rPr>
          <w:rFonts w:ascii="Arial" w:eastAsia="Calibri" w:hAnsi="Arial" w:cs="Arial"/>
          <w:sz w:val="20"/>
          <w:szCs w:val="20"/>
        </w:rPr>
        <w:tab/>
        <w:t xml:space="preserve">Countries should consider relevant experience, knowledge and confidence and may consider appropriate assessments by other countries or international organizations. </w:t>
      </w:r>
    </w:p>
    <w:p w:rsidR="004542B7" w:rsidRPr="004542B7" w:rsidRDefault="004542B7" w:rsidP="00637FD5">
      <w:pPr>
        <w:widowControl w:val="0"/>
        <w:spacing w:after="120"/>
        <w:jc w:val="both"/>
        <w:rPr>
          <w:rFonts w:ascii="Arial" w:eastAsia="Calibri" w:hAnsi="Arial" w:cs="Arial"/>
          <w:b/>
          <w:i/>
          <w:sz w:val="20"/>
          <w:szCs w:val="20"/>
        </w:rPr>
      </w:pPr>
      <w:r w:rsidRPr="004542B7">
        <w:rPr>
          <w:rFonts w:ascii="Arial" w:eastAsia="Calibri" w:hAnsi="Arial" w:cs="Arial"/>
          <w:b/>
          <w:i/>
          <w:sz w:val="20"/>
          <w:szCs w:val="20"/>
        </w:rPr>
        <w:lastRenderedPageBreak/>
        <w:t>Alignment with International Standards</w:t>
      </w:r>
    </w:p>
    <w:p w:rsidR="004542B7" w:rsidRPr="004542B7" w:rsidRDefault="004542B7" w:rsidP="00637FD5">
      <w:pPr>
        <w:widowControl w:val="0"/>
        <w:spacing w:after="120"/>
        <w:jc w:val="both"/>
        <w:rPr>
          <w:rFonts w:ascii="Arial" w:eastAsia="Calibri" w:hAnsi="Arial" w:cs="Arial"/>
          <w:sz w:val="20"/>
          <w:szCs w:val="20"/>
        </w:rPr>
      </w:pPr>
      <w:r w:rsidRPr="004542B7">
        <w:rPr>
          <w:rFonts w:ascii="Arial" w:eastAsia="Calibri" w:hAnsi="Arial" w:cs="Arial"/>
          <w:sz w:val="20"/>
          <w:szCs w:val="20"/>
        </w:rPr>
        <w:t>c.</w:t>
      </w:r>
      <w:r w:rsidRPr="004542B7">
        <w:rPr>
          <w:rFonts w:ascii="Arial" w:eastAsia="Calibri" w:hAnsi="Arial" w:cs="Arial"/>
          <w:sz w:val="20"/>
          <w:szCs w:val="20"/>
        </w:rPr>
        <w:tab/>
        <w:t xml:space="preserve">The use of or reference to Codex standards, guidelines, and/or codes of practice, </w:t>
      </w:r>
      <w:r w:rsidRPr="004542B7">
        <w:rPr>
          <w:rFonts w:ascii="Arial" w:eastAsia="Calibri" w:hAnsi="Arial" w:cs="Arial"/>
          <w:bCs/>
          <w:sz w:val="20"/>
          <w:szCs w:val="20"/>
        </w:rPr>
        <w:t>or other relevant international standards</w:t>
      </w:r>
      <w:r w:rsidRPr="004542B7" w:rsidDel="005A0B79">
        <w:rPr>
          <w:rFonts w:ascii="Arial" w:eastAsia="Calibri" w:hAnsi="Arial" w:cs="Arial"/>
          <w:bCs/>
          <w:sz w:val="20"/>
          <w:szCs w:val="20"/>
        </w:rPr>
        <w:t xml:space="preserve"> </w:t>
      </w:r>
      <w:r w:rsidRPr="004542B7">
        <w:rPr>
          <w:rFonts w:ascii="Arial" w:eastAsia="Calibri" w:hAnsi="Arial" w:cs="Arial"/>
          <w:sz w:val="20"/>
          <w:szCs w:val="20"/>
        </w:rPr>
        <w:t>by importing and exporting countries can facilitate the consideration, assessment and recognition of the equivalence of a NFCS, or the relevant part.</w:t>
      </w:r>
    </w:p>
    <w:p w:rsidR="004542B7" w:rsidRPr="004542B7" w:rsidRDefault="004542B7" w:rsidP="00637FD5">
      <w:pPr>
        <w:widowControl w:val="0"/>
        <w:spacing w:after="120"/>
        <w:jc w:val="both"/>
        <w:rPr>
          <w:rFonts w:ascii="Arial" w:eastAsia="Calibri" w:hAnsi="Arial" w:cs="Arial"/>
          <w:b/>
          <w:i/>
          <w:sz w:val="20"/>
          <w:szCs w:val="20"/>
        </w:rPr>
      </w:pPr>
      <w:r w:rsidRPr="004542B7">
        <w:rPr>
          <w:rFonts w:ascii="Arial" w:eastAsia="Calibri" w:hAnsi="Arial" w:cs="Arial"/>
          <w:b/>
          <w:i/>
          <w:sz w:val="20"/>
          <w:szCs w:val="20"/>
        </w:rPr>
        <w:t>Assessment</w:t>
      </w:r>
    </w:p>
    <w:p w:rsidR="004542B7" w:rsidRPr="004542B7" w:rsidRDefault="004542B7" w:rsidP="00637FD5">
      <w:pPr>
        <w:widowControl w:val="0"/>
        <w:spacing w:after="120"/>
        <w:jc w:val="both"/>
        <w:rPr>
          <w:rFonts w:ascii="Arial" w:eastAsia="Calibri" w:hAnsi="Arial" w:cs="Arial"/>
          <w:sz w:val="20"/>
          <w:szCs w:val="20"/>
        </w:rPr>
      </w:pPr>
      <w:r w:rsidRPr="004542B7">
        <w:rPr>
          <w:rFonts w:ascii="Arial" w:eastAsia="Calibri" w:hAnsi="Arial" w:cs="Arial"/>
          <w:sz w:val="20"/>
          <w:szCs w:val="20"/>
        </w:rPr>
        <w:t>d.</w:t>
      </w:r>
      <w:r w:rsidRPr="004542B7">
        <w:rPr>
          <w:rFonts w:ascii="Arial" w:eastAsia="Calibri" w:hAnsi="Arial" w:cs="Arial"/>
          <w:sz w:val="20"/>
          <w:szCs w:val="20"/>
        </w:rPr>
        <w:tab/>
        <w:t xml:space="preserve">The assessment process should evaluate whether the relevant objectives, and </w:t>
      </w:r>
      <w:r w:rsidRPr="004542B7">
        <w:rPr>
          <w:rFonts w:ascii="Arial" w:eastAsia="Calibri" w:hAnsi="Arial" w:cs="Arial"/>
          <w:sz w:val="20"/>
          <w:szCs w:val="20"/>
          <w:lang w:val="en-NZ"/>
        </w:rPr>
        <w:t xml:space="preserve">related outcomes or level of protection, </w:t>
      </w:r>
      <w:r w:rsidRPr="004542B7">
        <w:rPr>
          <w:rFonts w:ascii="Arial" w:eastAsia="Calibri" w:hAnsi="Arial" w:cs="Arial"/>
          <w:sz w:val="20"/>
          <w:szCs w:val="20"/>
        </w:rPr>
        <w:t>of the importing country’s NFCS are achieved and the process should be documented; transparent; evidence-based; outcome-focused; efficient; and be conducted in a cooperative and timely manner.</w:t>
      </w:r>
    </w:p>
    <w:p w:rsidR="004542B7" w:rsidRPr="004542B7" w:rsidRDefault="004542B7" w:rsidP="00637FD5">
      <w:pPr>
        <w:widowControl w:val="0"/>
        <w:spacing w:after="120"/>
        <w:jc w:val="both"/>
        <w:rPr>
          <w:rFonts w:ascii="Arial" w:eastAsia="Calibri" w:hAnsi="Arial" w:cs="Arial"/>
          <w:b/>
          <w:iCs/>
          <w:sz w:val="20"/>
          <w:szCs w:val="20"/>
        </w:rPr>
      </w:pPr>
      <w:r w:rsidRPr="004542B7">
        <w:rPr>
          <w:rFonts w:ascii="Arial" w:eastAsia="Calibri" w:hAnsi="Arial" w:cs="Arial"/>
          <w:b/>
          <w:iCs/>
          <w:sz w:val="20"/>
          <w:szCs w:val="20"/>
        </w:rPr>
        <w:t xml:space="preserve">Final documentation </w:t>
      </w:r>
    </w:p>
    <w:p w:rsidR="004542B7" w:rsidRPr="004542B7" w:rsidRDefault="004542B7" w:rsidP="00637FD5">
      <w:pPr>
        <w:widowControl w:val="0"/>
        <w:spacing w:after="120"/>
        <w:jc w:val="both"/>
        <w:rPr>
          <w:rFonts w:ascii="Arial" w:eastAsia="Calibri" w:hAnsi="Arial" w:cs="Arial"/>
          <w:sz w:val="20"/>
          <w:szCs w:val="20"/>
        </w:rPr>
      </w:pPr>
      <w:r w:rsidRPr="004542B7">
        <w:rPr>
          <w:rFonts w:ascii="Arial" w:eastAsia="Calibri" w:hAnsi="Arial" w:cs="Arial"/>
          <w:sz w:val="20"/>
          <w:szCs w:val="20"/>
        </w:rPr>
        <w:t>e.</w:t>
      </w:r>
      <w:r w:rsidRPr="004542B7">
        <w:rPr>
          <w:rFonts w:ascii="Arial" w:eastAsia="Calibri" w:hAnsi="Arial" w:cs="Arial"/>
          <w:sz w:val="20"/>
          <w:szCs w:val="20"/>
        </w:rPr>
        <w:tab/>
        <w:t xml:space="preserve">The importing and exporting countries should document any recognition reached, including how the recognition of equivalence will be implemented and maintained for the trade in food between the countries. </w:t>
      </w:r>
    </w:p>
    <w:p w:rsidR="004542B7" w:rsidRPr="004542B7" w:rsidRDefault="004542B7" w:rsidP="00637FD5">
      <w:pPr>
        <w:widowControl w:val="0"/>
        <w:spacing w:after="120"/>
        <w:jc w:val="both"/>
        <w:rPr>
          <w:rFonts w:ascii="Arial" w:eastAsia="Calibri" w:hAnsi="Arial" w:cs="Arial"/>
          <w:b/>
          <w:sz w:val="20"/>
          <w:szCs w:val="20"/>
          <w:lang w:val="en-US"/>
        </w:rPr>
      </w:pPr>
      <w:r w:rsidRPr="004542B7">
        <w:rPr>
          <w:rFonts w:ascii="Arial" w:eastAsia="Calibri" w:hAnsi="Arial" w:cs="Arial"/>
          <w:b/>
          <w:sz w:val="20"/>
          <w:szCs w:val="20"/>
          <w:lang w:val="en-US"/>
        </w:rPr>
        <w:t>SECTION 5 – PROCESS STEPS</w:t>
      </w:r>
    </w:p>
    <w:p w:rsidR="004542B7" w:rsidRPr="004542B7" w:rsidRDefault="004542B7" w:rsidP="00637FD5">
      <w:pPr>
        <w:widowControl w:val="0"/>
        <w:spacing w:after="120"/>
        <w:jc w:val="both"/>
        <w:rPr>
          <w:rFonts w:ascii="Arial" w:eastAsia="Calibri" w:hAnsi="Arial" w:cs="Arial"/>
          <w:sz w:val="20"/>
          <w:szCs w:val="20"/>
          <w:lang w:val="en-NZ"/>
        </w:rPr>
      </w:pPr>
      <w:r w:rsidRPr="004542B7">
        <w:rPr>
          <w:rFonts w:ascii="Arial" w:eastAsia="Calibri" w:hAnsi="Arial" w:cs="Arial"/>
          <w:sz w:val="20"/>
          <w:szCs w:val="20"/>
          <w:lang w:val="en-NZ"/>
        </w:rPr>
        <w:t>7</w:t>
      </w:r>
      <w:r w:rsidRPr="004542B7">
        <w:rPr>
          <w:rFonts w:ascii="Arial" w:eastAsia="Calibri" w:hAnsi="Arial" w:cs="Arial"/>
          <w:sz w:val="20"/>
          <w:szCs w:val="20"/>
          <w:lang w:val="en-NZ"/>
        </w:rPr>
        <w:tab/>
        <w:t xml:space="preserve">The following process steps relate to </w:t>
      </w:r>
      <w:r w:rsidR="00E61DCB">
        <w:rPr>
          <w:rFonts w:ascii="Arial" w:eastAsia="Calibri" w:hAnsi="Arial" w:cs="Arial"/>
          <w:sz w:val="20"/>
          <w:szCs w:val="20"/>
          <w:lang w:val="en-NZ"/>
        </w:rPr>
        <w:t xml:space="preserve">the </w:t>
      </w:r>
      <w:r w:rsidRPr="004542B7">
        <w:rPr>
          <w:rFonts w:ascii="Arial" w:eastAsia="Calibri" w:hAnsi="Arial" w:cs="Arial"/>
          <w:sz w:val="20"/>
          <w:szCs w:val="20"/>
          <w:lang w:val="en-NZ"/>
        </w:rPr>
        <w:t>consideration, assessment, recognition and maintenance of the equivalence of NFCSs.</w:t>
      </w:r>
      <w:r w:rsidRPr="004542B7">
        <w:rPr>
          <w:rFonts w:ascii="Arial" w:eastAsia="Calibri" w:hAnsi="Arial" w:cs="Arial"/>
          <w:sz w:val="20"/>
          <w:szCs w:val="20"/>
          <w:vertAlign w:val="superscript"/>
          <w:lang w:val="en-NZ"/>
        </w:rPr>
        <w:footnoteReference w:id="4"/>
      </w:r>
    </w:p>
    <w:p w:rsidR="004542B7" w:rsidRPr="004542B7" w:rsidRDefault="004542B7" w:rsidP="00637FD5">
      <w:pPr>
        <w:widowControl w:val="0"/>
        <w:spacing w:after="120"/>
        <w:ind w:left="720"/>
        <w:jc w:val="both"/>
        <w:rPr>
          <w:rFonts w:ascii="Arial" w:eastAsia="Calibri" w:hAnsi="Arial" w:cs="Arial"/>
          <w:sz w:val="20"/>
          <w:szCs w:val="20"/>
          <w:lang w:val="en-NZ"/>
        </w:rPr>
      </w:pPr>
      <w:r w:rsidRPr="004542B7">
        <w:rPr>
          <w:rFonts w:ascii="Arial" w:eastAsia="Calibri" w:hAnsi="Arial" w:cs="Arial"/>
          <w:b/>
          <w:sz w:val="20"/>
          <w:szCs w:val="20"/>
          <w:lang w:val="en-NZ"/>
        </w:rPr>
        <w:t>Step 1: Initial discussions, scope and decision to commence</w:t>
      </w:r>
      <w:r w:rsidRPr="004542B7">
        <w:rPr>
          <w:rFonts w:ascii="Arial" w:eastAsia="Calibri" w:hAnsi="Arial" w:cs="Arial"/>
          <w:sz w:val="20"/>
          <w:szCs w:val="20"/>
          <w:lang w:val="en-NZ"/>
        </w:rPr>
        <w:t xml:space="preserve"> </w:t>
      </w:r>
    </w:p>
    <w:p w:rsidR="004542B7" w:rsidRPr="004542B7" w:rsidRDefault="004542B7" w:rsidP="00637FD5">
      <w:pPr>
        <w:widowControl w:val="0"/>
        <w:spacing w:after="120"/>
        <w:ind w:left="1560" w:hanging="840"/>
        <w:jc w:val="both"/>
        <w:rPr>
          <w:rFonts w:ascii="Arial" w:eastAsia="Calibri" w:hAnsi="Arial" w:cs="Arial"/>
          <w:sz w:val="20"/>
          <w:szCs w:val="20"/>
          <w:lang w:val="en-NZ"/>
        </w:rPr>
      </w:pPr>
      <w:r w:rsidRPr="004542B7">
        <w:rPr>
          <w:rFonts w:ascii="Arial" w:eastAsia="Calibri" w:hAnsi="Arial" w:cs="Arial"/>
          <w:b/>
          <w:sz w:val="20"/>
          <w:szCs w:val="20"/>
          <w:lang w:val="en-NZ"/>
        </w:rPr>
        <w:t>Step 2: Description of the</w:t>
      </w:r>
      <w:r w:rsidRPr="004542B7">
        <w:rPr>
          <w:rFonts w:ascii="Arial" w:eastAsia="Calibri" w:hAnsi="Arial" w:cs="Arial"/>
          <w:b/>
          <w:sz w:val="20"/>
          <w:szCs w:val="20"/>
          <w:u w:val="single"/>
          <w:lang w:val="en-NZ"/>
        </w:rPr>
        <w:t xml:space="preserve"> </w:t>
      </w:r>
      <w:r w:rsidRPr="004542B7">
        <w:rPr>
          <w:rFonts w:ascii="Arial" w:eastAsia="Calibri" w:hAnsi="Arial" w:cs="Arial"/>
          <w:b/>
          <w:sz w:val="20"/>
          <w:szCs w:val="20"/>
          <w:lang w:val="en-NZ"/>
        </w:rPr>
        <w:t>importing country’s NFCS and the relevant objectives</w:t>
      </w:r>
      <w:r w:rsidRPr="004542B7" w:rsidDel="00753834">
        <w:rPr>
          <w:rFonts w:ascii="Arial" w:eastAsia="Calibri" w:hAnsi="Arial" w:cs="Arial"/>
          <w:b/>
          <w:sz w:val="20"/>
          <w:szCs w:val="20"/>
          <w:lang w:val="en-NZ"/>
        </w:rPr>
        <w:t xml:space="preserve"> </w:t>
      </w:r>
    </w:p>
    <w:p w:rsidR="004542B7" w:rsidRPr="004542B7" w:rsidRDefault="004542B7" w:rsidP="00637FD5">
      <w:pPr>
        <w:widowControl w:val="0"/>
        <w:spacing w:after="120"/>
        <w:ind w:left="720"/>
        <w:jc w:val="both"/>
        <w:rPr>
          <w:rFonts w:ascii="Arial" w:eastAsia="Calibri" w:hAnsi="Arial" w:cs="Arial"/>
          <w:sz w:val="20"/>
          <w:szCs w:val="20"/>
          <w:lang w:val="en-NZ"/>
        </w:rPr>
      </w:pPr>
      <w:r w:rsidRPr="004542B7">
        <w:rPr>
          <w:rFonts w:ascii="Arial" w:eastAsia="Calibri" w:hAnsi="Arial" w:cs="Arial"/>
          <w:b/>
          <w:sz w:val="20"/>
          <w:szCs w:val="20"/>
          <w:lang w:val="en-NZ"/>
        </w:rPr>
        <w:t xml:space="preserve">Step 3: The decision criteria for comparison </w:t>
      </w:r>
    </w:p>
    <w:p w:rsidR="004542B7" w:rsidRPr="004542B7" w:rsidRDefault="004542B7" w:rsidP="00637FD5">
      <w:pPr>
        <w:widowControl w:val="0"/>
        <w:spacing w:after="120"/>
        <w:ind w:left="720"/>
        <w:jc w:val="both"/>
        <w:rPr>
          <w:rFonts w:ascii="Arial" w:eastAsia="Calibri" w:hAnsi="Arial" w:cs="Arial"/>
          <w:sz w:val="20"/>
          <w:szCs w:val="20"/>
          <w:lang w:val="en-NZ"/>
        </w:rPr>
      </w:pPr>
      <w:r w:rsidRPr="004542B7">
        <w:rPr>
          <w:rFonts w:ascii="Arial" w:eastAsia="Calibri" w:hAnsi="Arial" w:cs="Arial"/>
          <w:b/>
          <w:sz w:val="20"/>
          <w:szCs w:val="20"/>
          <w:lang w:val="en-NZ"/>
        </w:rPr>
        <w:t>Step 4: Description of exporting country’s NFCS or relevant part</w:t>
      </w:r>
    </w:p>
    <w:p w:rsidR="004542B7" w:rsidRPr="004542B7" w:rsidRDefault="004542B7" w:rsidP="00637FD5">
      <w:pPr>
        <w:widowControl w:val="0"/>
        <w:spacing w:after="120"/>
        <w:ind w:left="720"/>
        <w:jc w:val="both"/>
        <w:rPr>
          <w:rFonts w:ascii="Arial" w:eastAsia="Calibri" w:hAnsi="Arial" w:cs="Arial"/>
          <w:sz w:val="20"/>
          <w:szCs w:val="20"/>
          <w:lang w:val="en-NZ"/>
        </w:rPr>
      </w:pPr>
      <w:r w:rsidRPr="004542B7">
        <w:rPr>
          <w:rFonts w:ascii="Arial" w:eastAsia="Calibri" w:hAnsi="Arial" w:cs="Arial"/>
          <w:b/>
          <w:sz w:val="20"/>
          <w:szCs w:val="20"/>
          <w:lang w:val="en-NZ"/>
        </w:rPr>
        <w:t>Step 5: Assessment process</w:t>
      </w:r>
    </w:p>
    <w:p w:rsidR="004542B7" w:rsidRPr="004542B7" w:rsidRDefault="004542B7" w:rsidP="00637FD5">
      <w:pPr>
        <w:widowControl w:val="0"/>
        <w:spacing w:after="120"/>
        <w:ind w:left="720"/>
        <w:jc w:val="both"/>
        <w:rPr>
          <w:rFonts w:ascii="Arial" w:eastAsia="Calibri" w:hAnsi="Arial" w:cs="Arial"/>
          <w:sz w:val="20"/>
          <w:szCs w:val="20"/>
          <w:lang w:val="en-NZ"/>
        </w:rPr>
      </w:pPr>
      <w:r w:rsidRPr="004542B7">
        <w:rPr>
          <w:rFonts w:ascii="Arial" w:eastAsia="Calibri" w:hAnsi="Arial" w:cs="Arial"/>
          <w:b/>
          <w:sz w:val="20"/>
          <w:szCs w:val="20"/>
          <w:lang w:val="en-NZ"/>
        </w:rPr>
        <w:t>Step 6: Decision process</w:t>
      </w:r>
    </w:p>
    <w:p w:rsidR="004542B7" w:rsidRPr="004542B7" w:rsidRDefault="004542B7" w:rsidP="00637FD5">
      <w:pPr>
        <w:widowControl w:val="0"/>
        <w:spacing w:after="120"/>
        <w:ind w:left="720"/>
        <w:jc w:val="both"/>
        <w:rPr>
          <w:rFonts w:ascii="Arial" w:eastAsia="Calibri" w:hAnsi="Arial" w:cs="Arial"/>
          <w:b/>
          <w:sz w:val="20"/>
          <w:szCs w:val="20"/>
          <w:lang w:val="en-NZ"/>
        </w:rPr>
      </w:pPr>
      <w:r w:rsidRPr="004542B7">
        <w:rPr>
          <w:rFonts w:ascii="Arial" w:eastAsia="Calibri" w:hAnsi="Arial" w:cs="Arial"/>
          <w:b/>
          <w:sz w:val="20"/>
          <w:szCs w:val="20"/>
          <w:lang w:val="en-NZ"/>
        </w:rPr>
        <w:t xml:space="preserve">Step 7: Final documentation </w:t>
      </w:r>
    </w:p>
    <w:p w:rsidR="004542B7" w:rsidRPr="004542B7" w:rsidRDefault="004542B7" w:rsidP="00637FD5">
      <w:pPr>
        <w:keepNext/>
        <w:widowControl w:val="0"/>
        <w:spacing w:after="120"/>
        <w:jc w:val="both"/>
        <w:rPr>
          <w:rFonts w:ascii="Arial" w:eastAsia="Calibri" w:hAnsi="Arial" w:cs="Arial"/>
          <w:sz w:val="20"/>
          <w:szCs w:val="20"/>
        </w:rPr>
      </w:pPr>
      <w:r w:rsidRPr="004542B7">
        <w:rPr>
          <w:rFonts w:ascii="Arial" w:eastAsia="Calibri" w:hAnsi="Arial" w:cs="Arial"/>
          <w:b/>
          <w:bCs/>
          <w:sz w:val="20"/>
          <w:szCs w:val="20"/>
          <w:lang w:val="en-US"/>
        </w:rPr>
        <w:t>5.1</w:t>
      </w:r>
      <w:r w:rsidRPr="004542B7">
        <w:rPr>
          <w:rFonts w:ascii="Arial" w:eastAsia="Calibri" w:hAnsi="Arial" w:cs="Arial"/>
          <w:b/>
          <w:bCs/>
          <w:sz w:val="20"/>
          <w:szCs w:val="20"/>
          <w:lang w:val="en-US"/>
        </w:rPr>
        <w:tab/>
        <w:t>STEP 1: INITIAL</w:t>
      </w:r>
      <w:r w:rsidRPr="004542B7" w:rsidDel="00075CE3">
        <w:rPr>
          <w:rFonts w:ascii="Arial" w:eastAsia="Calibri" w:hAnsi="Arial" w:cs="Arial"/>
          <w:b/>
          <w:bCs/>
          <w:sz w:val="20"/>
          <w:szCs w:val="20"/>
          <w:lang w:val="en-US"/>
        </w:rPr>
        <w:t xml:space="preserve"> </w:t>
      </w:r>
      <w:r w:rsidRPr="004542B7">
        <w:rPr>
          <w:rFonts w:ascii="Arial" w:eastAsia="Calibri" w:hAnsi="Arial" w:cs="Arial"/>
          <w:b/>
          <w:bCs/>
          <w:sz w:val="20"/>
          <w:szCs w:val="20"/>
          <w:lang w:val="en-US"/>
        </w:rPr>
        <w:t>DISCUSSIONS, SCOPE AND DECISION TO COMMENCE</w:t>
      </w:r>
      <w:r w:rsidRPr="004542B7">
        <w:rPr>
          <w:rFonts w:ascii="Arial" w:eastAsia="Calibri" w:hAnsi="Arial" w:cs="Arial"/>
          <w:sz w:val="20"/>
          <w:szCs w:val="20"/>
        </w:rPr>
        <w:t xml:space="preserve">  </w:t>
      </w:r>
    </w:p>
    <w:p w:rsidR="004542B7" w:rsidRPr="004542B7" w:rsidRDefault="004542B7" w:rsidP="00637FD5">
      <w:pPr>
        <w:widowControl w:val="0"/>
        <w:spacing w:after="120"/>
        <w:jc w:val="both"/>
        <w:rPr>
          <w:rFonts w:ascii="Arial" w:eastAsia="Calibri" w:hAnsi="Arial" w:cs="Arial"/>
          <w:b/>
          <w:sz w:val="20"/>
          <w:szCs w:val="20"/>
        </w:rPr>
      </w:pPr>
      <w:r w:rsidRPr="004542B7">
        <w:rPr>
          <w:rFonts w:ascii="Arial" w:eastAsia="Calibri" w:hAnsi="Arial" w:cs="Arial"/>
          <w:b/>
          <w:sz w:val="20"/>
          <w:szCs w:val="20"/>
        </w:rPr>
        <w:t>Initial discussions</w:t>
      </w:r>
    </w:p>
    <w:p w:rsidR="004542B7" w:rsidRPr="004542B7" w:rsidRDefault="004542B7" w:rsidP="00637FD5">
      <w:pPr>
        <w:widowControl w:val="0"/>
        <w:spacing w:after="120"/>
        <w:jc w:val="both"/>
        <w:rPr>
          <w:rFonts w:ascii="Arial" w:eastAsia="Calibri" w:hAnsi="Arial" w:cs="Arial"/>
          <w:sz w:val="20"/>
          <w:szCs w:val="20"/>
        </w:rPr>
      </w:pPr>
      <w:r w:rsidRPr="004542B7">
        <w:rPr>
          <w:rFonts w:ascii="Arial" w:eastAsia="Calibri" w:hAnsi="Arial" w:cs="Arial"/>
          <w:sz w:val="20"/>
          <w:szCs w:val="20"/>
        </w:rPr>
        <w:t>8</w:t>
      </w:r>
      <w:r w:rsidRPr="004542B7">
        <w:rPr>
          <w:rFonts w:ascii="Arial" w:eastAsia="Calibri" w:hAnsi="Arial" w:cs="Arial"/>
          <w:sz w:val="20"/>
          <w:szCs w:val="20"/>
        </w:rPr>
        <w:tab/>
        <w:t>Prior to a country requesting consultations on the recognition of the equivalence of its NFCS or the relevant part, it is recommended that initial discussions take place between the relevant competent authorities of both countries</w:t>
      </w:r>
      <w:r w:rsidRPr="004542B7">
        <w:rPr>
          <w:rFonts w:ascii="Arial" w:eastAsia="Calibri" w:hAnsi="Arial"/>
          <w:b/>
          <w:bCs/>
          <w:sz w:val="20"/>
          <w:szCs w:val="20"/>
          <w:vertAlign w:val="superscript"/>
        </w:rPr>
        <w:footnoteReference w:id="5"/>
      </w:r>
      <w:r w:rsidRPr="004542B7">
        <w:rPr>
          <w:rFonts w:ascii="Arial" w:eastAsia="Calibri" w:hAnsi="Arial" w:cs="Arial"/>
          <w:b/>
          <w:bCs/>
          <w:sz w:val="20"/>
          <w:szCs w:val="20"/>
        </w:rPr>
        <w:t>.</w:t>
      </w:r>
      <w:r w:rsidRPr="004542B7">
        <w:rPr>
          <w:rFonts w:ascii="Arial" w:eastAsia="Calibri" w:hAnsi="Arial" w:cs="Arial"/>
          <w:sz w:val="20"/>
          <w:szCs w:val="20"/>
        </w:rPr>
        <w:t xml:space="preserve">  These discussions can help identify if commencing an assessment of the equivalence of the exporting country’s NFCS is the most appropriate approach or whether some other mechanism</w:t>
      </w:r>
      <w:r w:rsidRPr="004542B7">
        <w:rPr>
          <w:rFonts w:ascii="Arial" w:eastAsia="Calibri" w:hAnsi="Arial" w:cs="Arial"/>
          <w:sz w:val="20"/>
          <w:szCs w:val="20"/>
          <w:vertAlign w:val="superscript"/>
        </w:rPr>
        <w:footnoteReference w:id="6"/>
      </w:r>
      <w:r w:rsidRPr="004542B7">
        <w:rPr>
          <w:rFonts w:ascii="Arial" w:eastAsia="Calibri" w:hAnsi="Arial" w:cs="Arial"/>
          <w:sz w:val="20"/>
          <w:szCs w:val="20"/>
        </w:rPr>
        <w:t xml:space="preserve"> would be better to address the matters under discussion. </w:t>
      </w:r>
      <w:r w:rsidRPr="004542B7">
        <w:rPr>
          <w:rFonts w:ascii="Arial" w:eastAsia="Calibri" w:hAnsi="Arial"/>
          <w:sz w:val="20"/>
          <w:szCs w:val="20"/>
          <w:lang w:val="en-NZ"/>
        </w:rPr>
        <w:t xml:space="preserve"> </w:t>
      </w:r>
    </w:p>
    <w:p w:rsidR="004542B7" w:rsidRPr="004542B7" w:rsidRDefault="004542B7" w:rsidP="00637FD5">
      <w:pPr>
        <w:widowControl w:val="0"/>
        <w:spacing w:after="120"/>
        <w:jc w:val="both"/>
        <w:rPr>
          <w:rFonts w:ascii="Arial" w:eastAsia="Calibri" w:hAnsi="Arial" w:cs="Arial"/>
          <w:sz w:val="20"/>
          <w:szCs w:val="20"/>
        </w:rPr>
      </w:pPr>
      <w:r w:rsidRPr="004542B7">
        <w:rPr>
          <w:rFonts w:ascii="Arial" w:eastAsia="Calibri" w:hAnsi="Arial" w:cs="Arial"/>
          <w:sz w:val="20"/>
          <w:szCs w:val="20"/>
        </w:rPr>
        <w:t>9</w:t>
      </w:r>
      <w:r w:rsidRPr="004542B7">
        <w:rPr>
          <w:rFonts w:ascii="Arial" w:eastAsia="Calibri" w:hAnsi="Arial" w:cs="Arial"/>
          <w:sz w:val="20"/>
          <w:szCs w:val="20"/>
        </w:rPr>
        <w:tab/>
        <w:t>Relevant matters for the initial discussions may include</w:t>
      </w:r>
      <w:r w:rsidRPr="004542B7">
        <w:rPr>
          <w:rFonts w:ascii="Arial" w:eastAsia="Calibri" w:hAnsi="Arial" w:cs="Arial"/>
          <w:sz w:val="20"/>
          <w:szCs w:val="20"/>
          <w:vertAlign w:val="superscript"/>
        </w:rPr>
        <w:t xml:space="preserve"> </w:t>
      </w:r>
      <w:r w:rsidRPr="004542B7">
        <w:rPr>
          <w:rFonts w:ascii="Arial" w:eastAsia="Calibri" w:hAnsi="Arial" w:cs="Arial"/>
          <w:sz w:val="20"/>
          <w:szCs w:val="20"/>
          <w:vertAlign w:val="superscript"/>
        </w:rPr>
        <w:footnoteReference w:id="7"/>
      </w:r>
      <w:r w:rsidRPr="004542B7">
        <w:rPr>
          <w:rFonts w:ascii="Arial" w:eastAsia="Calibri" w:hAnsi="Arial" w:cs="Arial"/>
          <w:sz w:val="20"/>
          <w:szCs w:val="20"/>
        </w:rPr>
        <w:t>:</w:t>
      </w:r>
    </w:p>
    <w:p w:rsidR="004542B7" w:rsidRPr="004542B7" w:rsidRDefault="004542B7" w:rsidP="00637FD5">
      <w:pPr>
        <w:widowControl w:val="0"/>
        <w:numPr>
          <w:ilvl w:val="0"/>
          <w:numId w:val="16"/>
        </w:numPr>
        <w:spacing w:after="120"/>
        <w:jc w:val="both"/>
        <w:rPr>
          <w:rFonts w:ascii="Arial" w:eastAsia="Calibri" w:hAnsi="Arial" w:cs="Arial"/>
          <w:sz w:val="20"/>
          <w:szCs w:val="20"/>
          <w:lang w:val="en-NZ"/>
        </w:rPr>
      </w:pPr>
      <w:r w:rsidRPr="004542B7">
        <w:rPr>
          <w:rFonts w:ascii="Arial" w:eastAsia="Calibri" w:hAnsi="Arial" w:cs="Arial"/>
          <w:sz w:val="20"/>
          <w:szCs w:val="20"/>
          <w:lang w:val="en-NZ"/>
        </w:rPr>
        <w:t xml:space="preserve">whether recognition of the equivalence of the NFCS or the relevant part will likely result in cost and resource savings, reduced duplication of control activities and/or removal of unnecessary impediments to trade, while protecting the health of consumers and ensuring fair practices in the food trade; </w:t>
      </w:r>
    </w:p>
    <w:p w:rsidR="004542B7" w:rsidRPr="004542B7" w:rsidRDefault="004542B7" w:rsidP="00637FD5">
      <w:pPr>
        <w:widowControl w:val="0"/>
        <w:numPr>
          <w:ilvl w:val="0"/>
          <w:numId w:val="16"/>
        </w:numPr>
        <w:spacing w:after="120"/>
        <w:jc w:val="both"/>
        <w:rPr>
          <w:rFonts w:ascii="Arial" w:eastAsia="Calibri" w:hAnsi="Arial" w:cs="Arial"/>
          <w:sz w:val="20"/>
          <w:szCs w:val="20"/>
          <w:lang w:val="en-NZ"/>
        </w:rPr>
      </w:pPr>
      <w:r w:rsidRPr="004542B7">
        <w:rPr>
          <w:rFonts w:ascii="Arial" w:eastAsia="Calibri" w:hAnsi="Arial" w:cs="Arial"/>
          <w:sz w:val="20"/>
          <w:szCs w:val="20"/>
          <w:lang w:val="en-NZ"/>
        </w:rPr>
        <w:t>the potential scope of an equivalence request;</w:t>
      </w:r>
    </w:p>
    <w:p w:rsidR="004542B7" w:rsidRPr="004542B7" w:rsidRDefault="004542B7" w:rsidP="00637FD5">
      <w:pPr>
        <w:widowControl w:val="0"/>
        <w:numPr>
          <w:ilvl w:val="0"/>
          <w:numId w:val="16"/>
        </w:numPr>
        <w:spacing w:after="120"/>
        <w:jc w:val="both"/>
        <w:rPr>
          <w:rFonts w:ascii="Arial" w:eastAsia="Calibri" w:hAnsi="Arial" w:cs="Arial"/>
          <w:sz w:val="20"/>
          <w:szCs w:val="20"/>
          <w:lang w:val="en-NZ"/>
        </w:rPr>
      </w:pPr>
      <w:r w:rsidRPr="004542B7">
        <w:rPr>
          <w:rFonts w:ascii="Arial" w:eastAsia="Calibri" w:hAnsi="Arial" w:cs="Arial"/>
          <w:sz w:val="20"/>
          <w:szCs w:val="20"/>
          <w:lang w:val="en-NZ"/>
        </w:rPr>
        <w:t>experience, knowledge and confidence derived from, for example: the history and level of trade between the countries; the history of compliance with the importing country’s requirements; the level of familiarization and/or cooperation between the competent authorities; and the exporting country’s trade in the same or similar products with other countries</w:t>
      </w:r>
      <w:r w:rsidR="00400450" w:rsidRPr="004542B7">
        <w:rPr>
          <w:rFonts w:ascii="Arial" w:eastAsia="Calibri" w:hAnsi="Arial" w:cs="Arial"/>
          <w:sz w:val="20"/>
          <w:szCs w:val="20"/>
          <w:vertAlign w:val="superscript"/>
          <w:lang w:val="en-NZ"/>
        </w:rPr>
        <w:footnoteReference w:id="8"/>
      </w:r>
      <w:r w:rsidRPr="004542B7">
        <w:rPr>
          <w:rFonts w:ascii="Arial" w:eastAsia="Calibri" w:hAnsi="Arial" w:cs="Arial"/>
          <w:sz w:val="20"/>
          <w:szCs w:val="20"/>
          <w:lang w:val="en-NZ"/>
        </w:rPr>
        <w:t xml:space="preserve">; </w:t>
      </w:r>
    </w:p>
    <w:p w:rsidR="004542B7" w:rsidRPr="004542B7" w:rsidRDefault="004542B7" w:rsidP="00637FD5">
      <w:pPr>
        <w:widowControl w:val="0"/>
        <w:numPr>
          <w:ilvl w:val="0"/>
          <w:numId w:val="16"/>
        </w:numPr>
        <w:spacing w:after="120"/>
        <w:jc w:val="both"/>
        <w:rPr>
          <w:rFonts w:ascii="Arial" w:eastAsia="Calibri" w:hAnsi="Arial" w:cs="Arial"/>
          <w:sz w:val="20"/>
          <w:szCs w:val="20"/>
          <w:lang w:val="en-NZ"/>
        </w:rPr>
      </w:pPr>
      <w:r w:rsidRPr="004542B7">
        <w:rPr>
          <w:rFonts w:ascii="Arial" w:eastAsia="Calibri" w:hAnsi="Arial" w:cs="Arial"/>
          <w:sz w:val="20"/>
          <w:szCs w:val="20"/>
          <w:lang w:val="en-NZ"/>
        </w:rPr>
        <w:lastRenderedPageBreak/>
        <w:t>the different level of development between the countries NFCS</w:t>
      </w:r>
      <w:r w:rsidRPr="004542B7">
        <w:rPr>
          <w:rFonts w:ascii="Arial" w:eastAsia="Calibri" w:hAnsi="Arial" w:cs="Arial"/>
          <w:sz w:val="20"/>
          <w:szCs w:val="20"/>
          <w:vertAlign w:val="superscript"/>
          <w:lang w:val="en-NZ"/>
        </w:rPr>
        <w:footnoteReference w:id="9"/>
      </w:r>
      <w:r w:rsidRPr="004542B7">
        <w:rPr>
          <w:rFonts w:ascii="Arial" w:eastAsia="Calibri" w:hAnsi="Arial" w:cs="Arial"/>
          <w:sz w:val="20"/>
          <w:szCs w:val="20"/>
          <w:lang w:val="en-NZ"/>
        </w:rPr>
        <w:t xml:space="preserve">; </w:t>
      </w:r>
    </w:p>
    <w:p w:rsidR="004542B7" w:rsidRPr="004542B7" w:rsidRDefault="004542B7" w:rsidP="00637FD5">
      <w:pPr>
        <w:widowControl w:val="0"/>
        <w:numPr>
          <w:ilvl w:val="0"/>
          <w:numId w:val="16"/>
        </w:numPr>
        <w:spacing w:after="120"/>
        <w:jc w:val="both"/>
        <w:rPr>
          <w:rFonts w:ascii="Arial" w:eastAsia="Calibri" w:hAnsi="Arial" w:cs="Arial"/>
          <w:sz w:val="20"/>
          <w:szCs w:val="20"/>
          <w:lang w:val="en-NZ"/>
        </w:rPr>
      </w:pPr>
      <w:r w:rsidRPr="004542B7">
        <w:rPr>
          <w:rFonts w:ascii="Arial" w:eastAsia="Calibri" w:hAnsi="Arial" w:cs="Arial"/>
          <w:sz w:val="20"/>
          <w:szCs w:val="20"/>
          <w:lang w:val="en-NZ"/>
        </w:rPr>
        <w:t xml:space="preserve">the similarity of design of each country’s NFCS in whole or the relevant part including the legislative framework and the relevant objectives, and related outcomes or level of protection; </w:t>
      </w:r>
    </w:p>
    <w:p w:rsidR="004542B7" w:rsidRPr="004542B7" w:rsidRDefault="004542B7" w:rsidP="00637FD5">
      <w:pPr>
        <w:widowControl w:val="0"/>
        <w:numPr>
          <w:ilvl w:val="0"/>
          <w:numId w:val="16"/>
        </w:numPr>
        <w:spacing w:after="120"/>
        <w:jc w:val="both"/>
        <w:rPr>
          <w:rFonts w:ascii="Arial" w:eastAsia="Calibri" w:hAnsi="Arial" w:cs="Arial"/>
          <w:sz w:val="20"/>
          <w:szCs w:val="20"/>
          <w:lang w:val="en-NZ"/>
        </w:rPr>
      </w:pPr>
      <w:r w:rsidRPr="004542B7">
        <w:rPr>
          <w:rFonts w:ascii="Arial" w:eastAsia="Calibri" w:hAnsi="Arial" w:cs="Arial"/>
          <w:sz w:val="20"/>
          <w:szCs w:val="20"/>
          <w:lang w:val="en-NZ"/>
        </w:rPr>
        <w:t>the similarity to or harmonisation of the whole or the relevant</w:t>
      </w:r>
      <w:r w:rsidRPr="004542B7">
        <w:rPr>
          <w:rFonts w:ascii="Arial" w:eastAsia="Calibri" w:hAnsi="Arial" w:cs="Arial"/>
          <w:bCs/>
          <w:sz w:val="20"/>
          <w:szCs w:val="20"/>
          <w:lang w:val="en-NZ"/>
        </w:rPr>
        <w:t xml:space="preserve"> </w:t>
      </w:r>
      <w:r w:rsidRPr="004542B7">
        <w:rPr>
          <w:rFonts w:ascii="Arial" w:eastAsia="Calibri" w:hAnsi="Arial" w:cs="Arial"/>
          <w:sz w:val="20"/>
          <w:szCs w:val="20"/>
          <w:lang w:val="en-NZ"/>
        </w:rPr>
        <w:t xml:space="preserve">part of the NFCS </w:t>
      </w:r>
      <w:bookmarkStart w:id="6" w:name="_Hlk73571073"/>
      <w:r w:rsidRPr="004542B7">
        <w:rPr>
          <w:rFonts w:ascii="Arial" w:eastAsia="Calibri" w:hAnsi="Arial" w:cs="Arial"/>
          <w:sz w:val="20"/>
          <w:szCs w:val="20"/>
          <w:lang w:val="en-NZ"/>
        </w:rPr>
        <w:t xml:space="preserve">with </w:t>
      </w:r>
      <w:bookmarkStart w:id="7" w:name="_Hlk73571271"/>
      <w:r w:rsidRPr="004542B7">
        <w:rPr>
          <w:rFonts w:ascii="Arial" w:eastAsia="Calibri" w:hAnsi="Arial" w:cs="Arial"/>
          <w:sz w:val="20"/>
          <w:szCs w:val="20"/>
          <w:lang w:val="en-NZ"/>
        </w:rPr>
        <w:t xml:space="preserve">standards, guidelines, and/or codes of practice from Codex or </w:t>
      </w:r>
      <w:bookmarkEnd w:id="7"/>
      <w:r w:rsidRPr="004542B7">
        <w:rPr>
          <w:rFonts w:ascii="Arial" w:eastAsia="Calibri" w:hAnsi="Arial" w:cs="Arial"/>
          <w:bCs/>
          <w:sz w:val="20"/>
          <w:szCs w:val="20"/>
          <w:lang w:val="en-NZ"/>
        </w:rPr>
        <w:t xml:space="preserve">other recognized relevant </w:t>
      </w:r>
      <w:bookmarkStart w:id="8" w:name="_Hlk71836739"/>
      <w:r w:rsidRPr="004542B7">
        <w:rPr>
          <w:rFonts w:ascii="Arial" w:eastAsia="Calibri" w:hAnsi="Arial" w:cs="Arial"/>
          <w:bCs/>
          <w:sz w:val="20"/>
          <w:szCs w:val="20"/>
          <w:lang w:val="en-NZ"/>
        </w:rPr>
        <w:t>international standard setting bodies</w:t>
      </w:r>
      <w:bookmarkEnd w:id="6"/>
      <w:bookmarkEnd w:id="8"/>
      <w:r w:rsidRPr="004542B7">
        <w:rPr>
          <w:rFonts w:ascii="Arial" w:eastAsia="Calibri" w:hAnsi="Arial" w:cs="Arial"/>
          <w:sz w:val="20"/>
          <w:szCs w:val="20"/>
          <w:lang w:val="en-NZ"/>
        </w:rPr>
        <w:t>; and</w:t>
      </w:r>
    </w:p>
    <w:p w:rsidR="004542B7" w:rsidRPr="004542B7" w:rsidRDefault="004542B7" w:rsidP="00637FD5">
      <w:pPr>
        <w:widowControl w:val="0"/>
        <w:numPr>
          <w:ilvl w:val="0"/>
          <w:numId w:val="16"/>
        </w:numPr>
        <w:spacing w:after="120"/>
        <w:jc w:val="both"/>
        <w:rPr>
          <w:rFonts w:ascii="Arial" w:eastAsia="Calibri" w:hAnsi="Arial" w:cs="Arial"/>
          <w:sz w:val="20"/>
          <w:szCs w:val="20"/>
          <w:lang w:val="en-NZ"/>
        </w:rPr>
      </w:pPr>
      <w:r w:rsidRPr="004542B7">
        <w:rPr>
          <w:rFonts w:ascii="Arial" w:eastAsia="Calibri" w:hAnsi="Arial" w:cs="Arial"/>
          <w:sz w:val="20"/>
          <w:szCs w:val="20"/>
          <w:lang w:val="en-NZ"/>
        </w:rPr>
        <w:t>the information exchanges and assessments that may have already occurred (e.g. in accordance with CXG 89-2016) or the existence of other relevant recognitions of equivalence between the two countries or with third countries.</w:t>
      </w:r>
    </w:p>
    <w:p w:rsidR="004542B7" w:rsidRPr="004542B7" w:rsidRDefault="004542B7" w:rsidP="00637FD5">
      <w:pPr>
        <w:widowControl w:val="0"/>
        <w:spacing w:after="120"/>
        <w:jc w:val="both"/>
        <w:rPr>
          <w:rFonts w:ascii="Arial" w:eastAsia="Calibri" w:hAnsi="Arial" w:cs="Arial"/>
          <w:bCs/>
          <w:sz w:val="20"/>
          <w:szCs w:val="20"/>
          <w:lang w:val="en-AU"/>
        </w:rPr>
      </w:pPr>
      <w:r w:rsidRPr="004542B7">
        <w:rPr>
          <w:rFonts w:ascii="Arial" w:eastAsia="Calibri" w:hAnsi="Arial" w:cs="Arial"/>
          <w:b/>
          <w:bCs/>
          <w:sz w:val="20"/>
          <w:szCs w:val="20"/>
          <w:lang w:val="en-AU"/>
        </w:rPr>
        <w:t>Scope Considerations</w:t>
      </w:r>
    </w:p>
    <w:p w:rsidR="004542B7" w:rsidRPr="004542B7" w:rsidRDefault="004542B7" w:rsidP="00637FD5">
      <w:pPr>
        <w:widowControl w:val="0"/>
        <w:spacing w:after="120"/>
        <w:jc w:val="both"/>
        <w:rPr>
          <w:rFonts w:ascii="Arial" w:eastAsia="Calibri" w:hAnsi="Arial" w:cs="Arial"/>
          <w:sz w:val="20"/>
          <w:szCs w:val="20"/>
        </w:rPr>
      </w:pPr>
      <w:r w:rsidRPr="004542B7">
        <w:rPr>
          <w:rFonts w:ascii="Arial" w:eastAsia="Calibri" w:hAnsi="Arial" w:cs="Arial"/>
          <w:sz w:val="20"/>
          <w:szCs w:val="20"/>
        </w:rPr>
        <w:t>10</w:t>
      </w:r>
      <w:r w:rsidRPr="004542B7">
        <w:rPr>
          <w:rFonts w:ascii="Arial" w:eastAsia="Calibri" w:hAnsi="Arial" w:cs="Arial"/>
          <w:sz w:val="20"/>
          <w:szCs w:val="20"/>
        </w:rPr>
        <w:tab/>
        <w:t>During the initial discussions exporting and importing countries should determine the appropriate scope for the assessment.  The scope may relate to an entire NFCS or only to that part of a NFCS relevant to the foods and conditions of trade to be covered by the request.</w:t>
      </w:r>
    </w:p>
    <w:p w:rsidR="004542B7" w:rsidRPr="004542B7" w:rsidRDefault="004542B7" w:rsidP="00637FD5">
      <w:pPr>
        <w:widowControl w:val="0"/>
        <w:spacing w:after="120"/>
        <w:jc w:val="both"/>
        <w:rPr>
          <w:rFonts w:ascii="Arial" w:eastAsia="Calibri" w:hAnsi="Arial" w:cs="Arial"/>
          <w:sz w:val="20"/>
          <w:szCs w:val="20"/>
        </w:rPr>
      </w:pPr>
      <w:r w:rsidRPr="004542B7">
        <w:rPr>
          <w:rFonts w:ascii="Arial" w:eastAsia="Calibri" w:hAnsi="Arial" w:cs="Arial"/>
          <w:sz w:val="20"/>
          <w:szCs w:val="20"/>
        </w:rPr>
        <w:t>11</w:t>
      </w:r>
      <w:r w:rsidRPr="004542B7">
        <w:rPr>
          <w:rFonts w:ascii="Arial" w:eastAsia="Calibri" w:hAnsi="Arial" w:cs="Arial"/>
          <w:sz w:val="20"/>
          <w:szCs w:val="20"/>
        </w:rPr>
        <w:tab/>
        <w:t>Relevant considerations in determining the scope may include:</w:t>
      </w:r>
    </w:p>
    <w:p w:rsidR="004542B7" w:rsidRPr="004542B7" w:rsidRDefault="004542B7" w:rsidP="00637FD5">
      <w:pPr>
        <w:widowControl w:val="0"/>
        <w:numPr>
          <w:ilvl w:val="0"/>
          <w:numId w:val="16"/>
        </w:numPr>
        <w:spacing w:after="120"/>
        <w:jc w:val="both"/>
        <w:rPr>
          <w:rFonts w:ascii="Arial" w:eastAsia="Calibri" w:hAnsi="Arial" w:cs="Arial"/>
          <w:sz w:val="20"/>
          <w:szCs w:val="20"/>
          <w:lang w:val="en-NZ"/>
        </w:rPr>
      </w:pPr>
      <w:r w:rsidRPr="004542B7">
        <w:rPr>
          <w:rFonts w:ascii="Arial" w:eastAsia="Calibri" w:hAnsi="Arial" w:cs="Arial"/>
          <w:sz w:val="20"/>
          <w:szCs w:val="20"/>
          <w:lang w:val="en-NZ"/>
        </w:rPr>
        <w:t>the range of products currently being traded between the countries and/or products proposed for future trade</w:t>
      </w:r>
      <w:r w:rsidRPr="004542B7">
        <w:rPr>
          <w:rFonts w:ascii="Arial" w:eastAsia="Calibri" w:hAnsi="Arial" w:cs="Arial"/>
          <w:sz w:val="20"/>
          <w:szCs w:val="20"/>
          <w:vertAlign w:val="superscript"/>
        </w:rPr>
        <w:footnoteReference w:id="10"/>
      </w:r>
      <w:r w:rsidRPr="004542B7">
        <w:rPr>
          <w:rFonts w:ascii="Arial" w:eastAsia="Calibri" w:hAnsi="Arial" w:cs="Arial"/>
          <w:sz w:val="20"/>
          <w:szCs w:val="20"/>
          <w:lang w:val="en-NZ"/>
        </w:rPr>
        <w:t>;</w:t>
      </w:r>
    </w:p>
    <w:p w:rsidR="004542B7" w:rsidRPr="004542B7" w:rsidRDefault="004542B7" w:rsidP="00637FD5">
      <w:pPr>
        <w:widowControl w:val="0"/>
        <w:numPr>
          <w:ilvl w:val="0"/>
          <w:numId w:val="16"/>
        </w:numPr>
        <w:spacing w:after="120"/>
        <w:jc w:val="both"/>
        <w:rPr>
          <w:rFonts w:ascii="Arial" w:eastAsia="Calibri" w:hAnsi="Arial" w:cs="Arial"/>
          <w:sz w:val="20"/>
          <w:szCs w:val="20"/>
          <w:lang w:val="en-NZ"/>
        </w:rPr>
      </w:pPr>
      <w:r w:rsidRPr="004542B7">
        <w:rPr>
          <w:rFonts w:ascii="Arial" w:eastAsia="Calibri" w:hAnsi="Arial" w:cs="Arial"/>
          <w:sz w:val="20"/>
          <w:szCs w:val="20"/>
          <w:lang w:val="en-NZ"/>
        </w:rPr>
        <w:t xml:space="preserve">identification of those requirements where recognition of the equivalence of the NFCS or the relevant part will allow better use of resources, including resolution of issues affecting trade; </w:t>
      </w:r>
    </w:p>
    <w:p w:rsidR="004542B7" w:rsidRPr="004542B7" w:rsidRDefault="004542B7" w:rsidP="00637FD5">
      <w:pPr>
        <w:widowControl w:val="0"/>
        <w:numPr>
          <w:ilvl w:val="0"/>
          <w:numId w:val="16"/>
        </w:numPr>
        <w:spacing w:after="120"/>
        <w:jc w:val="both"/>
        <w:rPr>
          <w:rFonts w:ascii="Arial" w:eastAsia="Calibri" w:hAnsi="Arial" w:cs="Arial"/>
          <w:sz w:val="20"/>
          <w:szCs w:val="20"/>
          <w:lang w:val="en-NZ"/>
        </w:rPr>
      </w:pPr>
      <w:r w:rsidRPr="004542B7">
        <w:rPr>
          <w:rFonts w:ascii="Arial" w:eastAsia="Calibri" w:hAnsi="Arial" w:cs="Arial"/>
          <w:sz w:val="20"/>
          <w:szCs w:val="20"/>
          <w:lang w:val="en-NZ"/>
        </w:rPr>
        <w:t>the range of NFCS assurances to be addressed (e.g. food safety, qualitative claims, labelling, or other matters relating to technical regulations, conformity assessment procedures or standards);</w:t>
      </w:r>
    </w:p>
    <w:p w:rsidR="004542B7" w:rsidRPr="004542B7" w:rsidRDefault="004542B7" w:rsidP="00637FD5">
      <w:pPr>
        <w:widowControl w:val="0"/>
        <w:numPr>
          <w:ilvl w:val="0"/>
          <w:numId w:val="16"/>
        </w:numPr>
        <w:spacing w:after="120"/>
        <w:jc w:val="both"/>
        <w:rPr>
          <w:rFonts w:ascii="Arial" w:eastAsia="Calibri" w:hAnsi="Arial" w:cs="Arial"/>
          <w:sz w:val="20"/>
          <w:szCs w:val="20"/>
          <w:lang w:val="en-NZ"/>
        </w:rPr>
      </w:pPr>
      <w:r w:rsidRPr="004542B7">
        <w:rPr>
          <w:rFonts w:ascii="Arial" w:eastAsia="Calibri" w:hAnsi="Arial" w:cs="Arial"/>
          <w:sz w:val="20"/>
          <w:szCs w:val="20"/>
          <w:lang w:val="en-NZ"/>
        </w:rPr>
        <w:t>the level of trust and confidence in the performance of the exporting country’s NFCS in whole or the relevant part relating to those products already being traded or those proposed for future trade; and</w:t>
      </w:r>
    </w:p>
    <w:p w:rsidR="004542B7" w:rsidRPr="004542B7" w:rsidRDefault="004542B7" w:rsidP="00637FD5">
      <w:pPr>
        <w:widowControl w:val="0"/>
        <w:numPr>
          <w:ilvl w:val="0"/>
          <w:numId w:val="16"/>
        </w:numPr>
        <w:spacing w:after="120"/>
        <w:jc w:val="both"/>
        <w:rPr>
          <w:rFonts w:ascii="Arial" w:eastAsia="Calibri" w:hAnsi="Arial" w:cs="Arial"/>
          <w:sz w:val="20"/>
          <w:szCs w:val="20"/>
        </w:rPr>
      </w:pPr>
      <w:r w:rsidRPr="004542B7">
        <w:rPr>
          <w:rFonts w:ascii="Arial" w:eastAsia="Calibri" w:hAnsi="Arial" w:cs="Arial"/>
          <w:sz w:val="20"/>
          <w:szCs w:val="20"/>
          <w:lang w:val="en-NZ"/>
        </w:rPr>
        <w:t>the availability of resources likely to be necessary to undertake the process as it relates to the whole or the relevant part of the NFCS proposed to be considered and the possible benefits</w:t>
      </w:r>
      <w:r w:rsidRPr="004542B7">
        <w:rPr>
          <w:rFonts w:ascii="Arial" w:eastAsia="Calibri" w:hAnsi="Arial" w:cs="Arial"/>
          <w:sz w:val="20"/>
          <w:szCs w:val="20"/>
        </w:rPr>
        <w:t>.</w:t>
      </w:r>
    </w:p>
    <w:p w:rsidR="004542B7" w:rsidRPr="004542B7" w:rsidRDefault="004542B7" w:rsidP="00637FD5">
      <w:pPr>
        <w:widowControl w:val="0"/>
        <w:spacing w:after="120"/>
        <w:jc w:val="both"/>
        <w:rPr>
          <w:rFonts w:ascii="Arial" w:eastAsia="Calibri" w:hAnsi="Arial" w:cs="Arial"/>
          <w:sz w:val="20"/>
          <w:szCs w:val="20"/>
        </w:rPr>
      </w:pPr>
      <w:r w:rsidRPr="004542B7">
        <w:rPr>
          <w:rFonts w:ascii="Arial" w:eastAsia="Calibri" w:hAnsi="Arial" w:cs="Arial"/>
          <w:sz w:val="20"/>
          <w:szCs w:val="20"/>
        </w:rPr>
        <w:t>12</w:t>
      </w:r>
      <w:r w:rsidRPr="004542B7">
        <w:rPr>
          <w:rFonts w:ascii="Arial" w:eastAsia="Calibri" w:hAnsi="Arial" w:cs="Arial"/>
          <w:sz w:val="20"/>
          <w:szCs w:val="20"/>
        </w:rPr>
        <w:tab/>
        <w:t>Discussions on scope should identify those areas where there may already be sufficient existing experience, knowledge and confidence</w:t>
      </w:r>
      <w:r w:rsidRPr="004542B7" w:rsidDel="00C236E1">
        <w:rPr>
          <w:rFonts w:ascii="Arial" w:eastAsia="Calibri" w:hAnsi="Arial" w:cs="Arial"/>
          <w:sz w:val="20"/>
          <w:szCs w:val="20"/>
        </w:rPr>
        <w:t xml:space="preserve"> </w:t>
      </w:r>
      <w:r w:rsidRPr="004542B7">
        <w:rPr>
          <w:rFonts w:ascii="Arial" w:eastAsia="Calibri" w:hAnsi="Arial" w:cs="Arial"/>
          <w:sz w:val="20"/>
          <w:szCs w:val="20"/>
        </w:rPr>
        <w:t>versus those areas where additional information exchanges are likely to be required</w:t>
      </w:r>
      <w:r w:rsidRPr="004542B7">
        <w:rPr>
          <w:rFonts w:ascii="Arial" w:eastAsia="Calibri" w:hAnsi="Arial" w:cs="Arial"/>
          <w:sz w:val="20"/>
          <w:szCs w:val="20"/>
          <w:vertAlign w:val="superscript"/>
        </w:rPr>
        <w:footnoteReference w:id="11"/>
      </w:r>
      <w:r w:rsidRPr="004542B7">
        <w:rPr>
          <w:rFonts w:ascii="Arial" w:eastAsia="Calibri" w:hAnsi="Arial" w:cs="Arial"/>
          <w:sz w:val="20"/>
          <w:szCs w:val="20"/>
        </w:rPr>
        <w:t xml:space="preserve">.  </w:t>
      </w:r>
    </w:p>
    <w:p w:rsidR="004542B7" w:rsidRPr="004542B7" w:rsidRDefault="004542B7" w:rsidP="00637FD5">
      <w:pPr>
        <w:widowControl w:val="0"/>
        <w:spacing w:after="120"/>
        <w:jc w:val="both"/>
        <w:rPr>
          <w:rFonts w:ascii="Arial" w:eastAsia="Calibri" w:hAnsi="Arial" w:cs="Arial"/>
          <w:b/>
          <w:sz w:val="20"/>
          <w:szCs w:val="20"/>
          <w:lang w:val="en-NZ"/>
        </w:rPr>
      </w:pPr>
      <w:r w:rsidRPr="004542B7">
        <w:rPr>
          <w:rFonts w:ascii="Arial" w:eastAsia="Calibri" w:hAnsi="Arial" w:cs="Arial"/>
          <w:b/>
          <w:sz w:val="20"/>
          <w:szCs w:val="20"/>
          <w:lang w:val="en-NZ"/>
        </w:rPr>
        <w:t>Decision whether to commence</w:t>
      </w:r>
    </w:p>
    <w:p w:rsidR="004542B7" w:rsidRPr="004542B7" w:rsidRDefault="004542B7" w:rsidP="00637FD5">
      <w:pPr>
        <w:widowControl w:val="0"/>
        <w:spacing w:after="120"/>
        <w:jc w:val="both"/>
        <w:rPr>
          <w:rFonts w:ascii="Arial" w:eastAsia="Calibri" w:hAnsi="Arial" w:cs="Arial"/>
          <w:sz w:val="20"/>
          <w:szCs w:val="20"/>
          <w:lang w:val="en-NZ"/>
        </w:rPr>
      </w:pPr>
      <w:r w:rsidRPr="004542B7">
        <w:rPr>
          <w:rFonts w:ascii="Arial" w:eastAsia="Calibri" w:hAnsi="Arial" w:cs="Arial"/>
          <w:sz w:val="20"/>
          <w:szCs w:val="20"/>
          <w:lang w:val="en-NZ"/>
        </w:rPr>
        <w:t>13</w:t>
      </w:r>
      <w:r w:rsidRPr="004542B7">
        <w:rPr>
          <w:rFonts w:ascii="Arial" w:eastAsia="Calibri" w:hAnsi="Arial" w:cs="Arial"/>
          <w:sz w:val="20"/>
          <w:szCs w:val="20"/>
          <w:lang w:val="en-NZ"/>
        </w:rPr>
        <w:tab/>
        <w:t>Where the conclusion of the initial discussions between the exporting and importing countries is that a recognition of equivalence is</w:t>
      </w:r>
      <w:r w:rsidRPr="004542B7">
        <w:rPr>
          <w:lang w:val="en-US"/>
        </w:rPr>
        <w:t xml:space="preserve"> </w:t>
      </w:r>
      <w:r w:rsidRPr="004542B7">
        <w:rPr>
          <w:rFonts w:ascii="Arial" w:eastAsia="Calibri" w:hAnsi="Arial" w:cs="Arial"/>
          <w:sz w:val="20"/>
          <w:szCs w:val="20"/>
          <w:lang w:val="en-NZ"/>
        </w:rPr>
        <w:t xml:space="preserve">the appropriate mechanism, the request for consultations should be made and submitted in writing including a description of the scope of products and conditions of trade to be covered. </w:t>
      </w:r>
    </w:p>
    <w:p w:rsidR="004542B7" w:rsidRPr="004542B7" w:rsidRDefault="004542B7" w:rsidP="00637FD5">
      <w:pPr>
        <w:widowControl w:val="0"/>
        <w:spacing w:after="120"/>
        <w:jc w:val="both"/>
        <w:rPr>
          <w:rFonts w:ascii="Arial" w:eastAsia="Calibri" w:hAnsi="Arial" w:cs="Arial"/>
          <w:sz w:val="20"/>
          <w:szCs w:val="20"/>
          <w:lang w:val="en-NZ"/>
        </w:rPr>
      </w:pPr>
      <w:r w:rsidRPr="004542B7">
        <w:rPr>
          <w:rFonts w:ascii="Arial" w:eastAsia="Calibri" w:hAnsi="Arial" w:cs="Arial"/>
          <w:sz w:val="20"/>
          <w:szCs w:val="20"/>
          <w:lang w:val="en-NZ"/>
        </w:rPr>
        <w:t>14</w:t>
      </w:r>
      <w:r w:rsidRPr="004542B7">
        <w:rPr>
          <w:rFonts w:ascii="Arial" w:eastAsia="Calibri" w:hAnsi="Arial" w:cs="Arial"/>
          <w:sz w:val="20"/>
          <w:szCs w:val="20"/>
          <w:lang w:val="en-NZ"/>
        </w:rPr>
        <w:tab/>
        <w:t>The two countries may then agree on a plan for undertaking the assessment which may include for example, timeframes and if necessary, priorities.</w:t>
      </w:r>
      <w:r w:rsidRPr="004542B7">
        <w:rPr>
          <w:rFonts w:ascii="Arial" w:eastAsia="Calibri" w:hAnsi="Arial" w:cs="Arial"/>
          <w:sz w:val="20"/>
          <w:szCs w:val="20"/>
          <w:vertAlign w:val="superscript"/>
          <w:lang w:val="en-NZ"/>
        </w:rPr>
        <w:footnoteReference w:id="12"/>
      </w:r>
    </w:p>
    <w:p w:rsidR="004542B7" w:rsidRPr="004542B7" w:rsidRDefault="004542B7" w:rsidP="00637FD5">
      <w:pPr>
        <w:widowControl w:val="0"/>
        <w:spacing w:after="120"/>
        <w:jc w:val="both"/>
        <w:rPr>
          <w:rFonts w:ascii="Arial" w:eastAsia="Calibri" w:hAnsi="Arial" w:cs="Arial"/>
          <w:sz w:val="20"/>
          <w:szCs w:val="20"/>
          <w:lang w:val="en-NZ"/>
        </w:rPr>
      </w:pPr>
      <w:r w:rsidRPr="004542B7">
        <w:rPr>
          <w:rFonts w:ascii="Arial" w:eastAsia="Calibri" w:hAnsi="Arial" w:cs="Arial"/>
          <w:sz w:val="20"/>
          <w:szCs w:val="20"/>
          <w:lang w:val="en-NZ"/>
        </w:rPr>
        <w:t>15</w:t>
      </w:r>
      <w:r w:rsidRPr="004542B7">
        <w:rPr>
          <w:rFonts w:ascii="Arial" w:eastAsia="Calibri" w:hAnsi="Arial" w:cs="Arial"/>
          <w:sz w:val="20"/>
          <w:szCs w:val="20"/>
          <w:lang w:val="en-NZ"/>
        </w:rPr>
        <w:tab/>
        <w:t>Where the initial discussions between</w:t>
      </w:r>
      <w:r w:rsidRPr="004542B7" w:rsidDel="00D904D6">
        <w:rPr>
          <w:rFonts w:ascii="Arial" w:eastAsia="Calibri" w:hAnsi="Arial" w:cs="Arial"/>
          <w:sz w:val="20"/>
          <w:szCs w:val="20"/>
          <w:lang w:val="en-NZ"/>
        </w:rPr>
        <w:t xml:space="preserve"> </w:t>
      </w:r>
      <w:r w:rsidRPr="004542B7">
        <w:rPr>
          <w:rFonts w:ascii="Arial" w:eastAsia="Calibri" w:hAnsi="Arial" w:cs="Arial"/>
          <w:sz w:val="20"/>
          <w:szCs w:val="20"/>
          <w:lang w:val="en-NZ"/>
        </w:rPr>
        <w:t xml:space="preserve">the two countries conclude that an assessment of the equivalence of the exporting country’s NFCS is not </w:t>
      </w:r>
      <w:bookmarkStart w:id="9" w:name="_Hlk103093806"/>
      <w:r w:rsidRPr="004542B7">
        <w:rPr>
          <w:rFonts w:ascii="Arial" w:eastAsia="Calibri" w:hAnsi="Arial" w:cs="Arial"/>
          <w:sz w:val="20"/>
          <w:szCs w:val="20"/>
          <w:lang w:val="en-NZ"/>
        </w:rPr>
        <w:t>the most appropriate mechanism</w:t>
      </w:r>
      <w:bookmarkEnd w:id="9"/>
      <w:r w:rsidRPr="004542B7">
        <w:rPr>
          <w:rFonts w:ascii="Arial" w:eastAsia="Calibri" w:hAnsi="Arial" w:cs="Arial"/>
          <w:sz w:val="20"/>
          <w:szCs w:val="20"/>
          <w:lang w:val="en-NZ"/>
        </w:rPr>
        <w:t>, the countries may wish to consider working jointly towards some other mechanisms to help facilitate the trade.  Alternative mechanisms to address the matters discussed could be considered.  CXG 34/1999 (paragraph 11) also identifies that amongst other things, information exchange, joint training, technical cooperation and support, and the development of infrastructure and strengthening of the food control systems can serve as building blocks for a future request for recognition of the equivalence of systems.</w:t>
      </w:r>
    </w:p>
    <w:p w:rsidR="004542B7" w:rsidRPr="004542B7" w:rsidRDefault="004542B7" w:rsidP="00637FD5">
      <w:pPr>
        <w:widowControl w:val="0"/>
        <w:spacing w:after="120"/>
        <w:jc w:val="both"/>
        <w:rPr>
          <w:rFonts w:ascii="Arial" w:eastAsia="Calibri" w:hAnsi="Arial" w:cs="Arial"/>
          <w:b/>
          <w:sz w:val="20"/>
          <w:szCs w:val="20"/>
          <w:u w:val="single"/>
          <w:lang w:val="en-NZ"/>
        </w:rPr>
      </w:pPr>
      <w:r w:rsidRPr="004542B7">
        <w:rPr>
          <w:rFonts w:ascii="Arial" w:eastAsia="Calibri" w:hAnsi="Arial" w:cs="Arial"/>
          <w:b/>
          <w:bCs/>
          <w:sz w:val="20"/>
          <w:szCs w:val="20"/>
          <w:lang w:val="en-US"/>
        </w:rPr>
        <w:t xml:space="preserve">5.2 </w:t>
      </w:r>
      <w:r w:rsidRPr="004542B7">
        <w:rPr>
          <w:rFonts w:ascii="Arial" w:eastAsia="Calibri" w:hAnsi="Arial" w:cs="Arial"/>
          <w:b/>
          <w:bCs/>
          <w:sz w:val="20"/>
          <w:szCs w:val="20"/>
          <w:lang w:val="en-US"/>
        </w:rPr>
        <w:tab/>
        <w:t xml:space="preserve">STEP 2: </w:t>
      </w:r>
      <w:r w:rsidRPr="004542B7">
        <w:rPr>
          <w:rFonts w:ascii="Arial" w:eastAsia="Calibri" w:hAnsi="Arial" w:cs="Arial"/>
          <w:b/>
          <w:sz w:val="20"/>
          <w:szCs w:val="20"/>
        </w:rPr>
        <w:t>DESCRIPTION OF THE IMPORTING COUNTRY’S NFCS AND THE RELEVANT</w:t>
      </w:r>
      <w:r w:rsidRPr="004542B7">
        <w:rPr>
          <w:rFonts w:ascii="Arial" w:eastAsia="Calibri" w:hAnsi="Arial" w:cs="Arial"/>
          <w:b/>
          <w:sz w:val="20"/>
          <w:szCs w:val="20"/>
          <w:u w:val="single"/>
        </w:rPr>
        <w:t xml:space="preserve"> </w:t>
      </w:r>
      <w:r w:rsidRPr="004542B7">
        <w:rPr>
          <w:rFonts w:ascii="Arial" w:eastAsia="Calibri" w:hAnsi="Arial" w:cs="Arial"/>
          <w:b/>
          <w:sz w:val="20"/>
          <w:szCs w:val="20"/>
        </w:rPr>
        <w:t xml:space="preserve">OBJECTIVES </w:t>
      </w:r>
    </w:p>
    <w:p w:rsidR="004542B7" w:rsidRPr="004542B7" w:rsidRDefault="004542B7" w:rsidP="00637FD5">
      <w:pPr>
        <w:widowControl w:val="0"/>
        <w:spacing w:after="120"/>
        <w:jc w:val="both"/>
        <w:rPr>
          <w:rFonts w:ascii="Arial" w:eastAsia="Calibri" w:hAnsi="Arial" w:cs="Arial"/>
          <w:sz w:val="20"/>
          <w:szCs w:val="20"/>
          <w:lang w:val="en-NZ"/>
        </w:rPr>
      </w:pPr>
      <w:r w:rsidRPr="004542B7">
        <w:rPr>
          <w:rFonts w:ascii="Arial" w:eastAsia="Calibri" w:hAnsi="Arial" w:cs="Arial"/>
          <w:sz w:val="20"/>
          <w:szCs w:val="20"/>
          <w:lang w:val="en-NZ"/>
        </w:rPr>
        <w:t>16</w:t>
      </w:r>
      <w:r w:rsidRPr="004542B7">
        <w:rPr>
          <w:rFonts w:ascii="Arial" w:eastAsia="Calibri" w:hAnsi="Arial" w:cs="Arial"/>
          <w:sz w:val="20"/>
          <w:szCs w:val="20"/>
          <w:lang w:val="en-NZ"/>
        </w:rPr>
        <w:tab/>
        <w:t xml:space="preserve">As relevant to the scope of the request and to facilitate the exporting country in describing its own systems, the importing country should provide information to describe, with appropriate references, the related </w:t>
      </w:r>
      <w:r w:rsidRPr="004542B7">
        <w:rPr>
          <w:rFonts w:ascii="Arial" w:eastAsia="Calibri" w:hAnsi="Arial" w:cs="Arial"/>
          <w:sz w:val="20"/>
          <w:szCs w:val="20"/>
          <w:lang w:val="en-NZ"/>
        </w:rPr>
        <w:lastRenderedPageBreak/>
        <w:t>elements with the objectives, and relevant outcomes or level of protection, of its NFCS that are to be part of the assessment for example:</w:t>
      </w:r>
      <w:r w:rsidRPr="004542B7">
        <w:rPr>
          <w:rFonts w:ascii="Arial" w:eastAsia="Calibri" w:hAnsi="Arial" w:cs="Arial"/>
          <w:sz w:val="20"/>
          <w:szCs w:val="20"/>
          <w:vertAlign w:val="superscript"/>
          <w:lang w:val="en-NZ"/>
        </w:rPr>
        <w:footnoteReference w:id="13"/>
      </w:r>
    </w:p>
    <w:p w:rsidR="004542B7" w:rsidRPr="004542B7" w:rsidRDefault="004542B7" w:rsidP="00637FD5">
      <w:pPr>
        <w:widowControl w:val="0"/>
        <w:numPr>
          <w:ilvl w:val="0"/>
          <w:numId w:val="16"/>
        </w:numPr>
        <w:spacing w:after="120"/>
        <w:ind w:left="1151" w:hanging="357"/>
        <w:jc w:val="both"/>
        <w:rPr>
          <w:rFonts w:ascii="Arial" w:eastAsia="Calibri" w:hAnsi="Arial" w:cs="Arial"/>
          <w:sz w:val="20"/>
          <w:szCs w:val="20"/>
          <w:lang w:val="en-NZ"/>
        </w:rPr>
      </w:pPr>
      <w:r w:rsidRPr="004542B7">
        <w:rPr>
          <w:rFonts w:ascii="Arial" w:eastAsia="Calibri" w:hAnsi="Arial" w:cs="Arial"/>
          <w:sz w:val="20"/>
          <w:szCs w:val="20"/>
          <w:lang w:val="en-NZ"/>
        </w:rPr>
        <w:t>regulatory and legislative framework;</w:t>
      </w:r>
    </w:p>
    <w:p w:rsidR="004542B7" w:rsidRPr="004542B7" w:rsidRDefault="004542B7" w:rsidP="00637FD5">
      <w:pPr>
        <w:widowControl w:val="0"/>
        <w:numPr>
          <w:ilvl w:val="0"/>
          <w:numId w:val="16"/>
        </w:numPr>
        <w:spacing w:after="120"/>
        <w:ind w:left="1151" w:hanging="357"/>
        <w:jc w:val="both"/>
        <w:rPr>
          <w:rFonts w:ascii="Arial" w:eastAsia="Calibri" w:hAnsi="Arial" w:cs="Arial"/>
          <w:sz w:val="20"/>
          <w:szCs w:val="20"/>
          <w:lang w:val="en-NZ"/>
        </w:rPr>
      </w:pPr>
      <w:r w:rsidRPr="004542B7">
        <w:rPr>
          <w:rFonts w:ascii="Arial" w:eastAsia="Calibri" w:hAnsi="Arial" w:cs="Arial"/>
          <w:sz w:val="20"/>
          <w:szCs w:val="20"/>
          <w:lang w:val="en-NZ"/>
        </w:rPr>
        <w:t>control and approval requirements (for example establishment, process and product programs);</w:t>
      </w:r>
    </w:p>
    <w:p w:rsidR="004542B7" w:rsidRPr="004542B7" w:rsidRDefault="004542B7" w:rsidP="00637FD5">
      <w:pPr>
        <w:widowControl w:val="0"/>
        <w:numPr>
          <w:ilvl w:val="0"/>
          <w:numId w:val="16"/>
        </w:numPr>
        <w:spacing w:after="120"/>
        <w:ind w:left="1151" w:hanging="357"/>
        <w:jc w:val="both"/>
        <w:rPr>
          <w:rFonts w:ascii="Arial" w:eastAsia="Calibri" w:hAnsi="Arial" w:cs="Arial"/>
          <w:sz w:val="20"/>
          <w:szCs w:val="20"/>
          <w:lang w:val="en-NZ"/>
        </w:rPr>
      </w:pPr>
      <w:r w:rsidRPr="004542B7">
        <w:rPr>
          <w:rFonts w:ascii="Arial" w:eastAsia="Calibri" w:hAnsi="Arial" w:cs="Arial"/>
          <w:sz w:val="20"/>
          <w:szCs w:val="20"/>
          <w:lang w:val="en-NZ"/>
        </w:rPr>
        <w:t>verification or conformity assessment, and audit programs;</w:t>
      </w:r>
    </w:p>
    <w:p w:rsidR="004542B7" w:rsidRPr="004542B7" w:rsidRDefault="004542B7" w:rsidP="00637FD5">
      <w:pPr>
        <w:widowControl w:val="0"/>
        <w:numPr>
          <w:ilvl w:val="0"/>
          <w:numId w:val="16"/>
        </w:numPr>
        <w:spacing w:after="120"/>
        <w:ind w:left="1151" w:hanging="357"/>
        <w:jc w:val="both"/>
        <w:rPr>
          <w:rFonts w:ascii="Arial" w:eastAsia="Calibri" w:hAnsi="Arial" w:cs="Arial"/>
          <w:sz w:val="20"/>
          <w:szCs w:val="20"/>
          <w:lang w:val="en-NZ"/>
        </w:rPr>
      </w:pPr>
      <w:r w:rsidRPr="004542B7">
        <w:rPr>
          <w:rFonts w:ascii="Arial" w:eastAsia="Calibri" w:hAnsi="Arial" w:cs="Arial"/>
          <w:sz w:val="20"/>
          <w:szCs w:val="20"/>
          <w:lang w:val="en-NZ"/>
        </w:rPr>
        <w:t xml:space="preserve">monitoring, surveillance, investigation and food safety incident response programs; </w:t>
      </w:r>
    </w:p>
    <w:p w:rsidR="004542B7" w:rsidRPr="004542B7" w:rsidRDefault="004542B7" w:rsidP="00637FD5">
      <w:pPr>
        <w:widowControl w:val="0"/>
        <w:numPr>
          <w:ilvl w:val="0"/>
          <w:numId w:val="16"/>
        </w:numPr>
        <w:spacing w:after="120"/>
        <w:ind w:left="1151" w:hanging="357"/>
        <w:jc w:val="both"/>
        <w:rPr>
          <w:rFonts w:ascii="Arial" w:eastAsia="Calibri" w:hAnsi="Arial" w:cs="Arial"/>
          <w:sz w:val="20"/>
          <w:szCs w:val="20"/>
          <w:lang w:val="en-NZ"/>
        </w:rPr>
      </w:pPr>
      <w:r w:rsidRPr="004542B7">
        <w:rPr>
          <w:rFonts w:ascii="Arial" w:eastAsia="Calibri" w:hAnsi="Arial" w:cs="Arial"/>
          <w:sz w:val="20"/>
          <w:szCs w:val="20"/>
          <w:lang w:val="en-NZ"/>
        </w:rPr>
        <w:t>enforcement and compliance programs;</w:t>
      </w:r>
    </w:p>
    <w:p w:rsidR="004542B7" w:rsidRPr="004542B7" w:rsidRDefault="004542B7" w:rsidP="00637FD5">
      <w:pPr>
        <w:widowControl w:val="0"/>
        <w:numPr>
          <w:ilvl w:val="0"/>
          <w:numId w:val="16"/>
        </w:numPr>
        <w:spacing w:after="120"/>
        <w:ind w:left="1151" w:hanging="357"/>
        <w:jc w:val="both"/>
        <w:rPr>
          <w:rFonts w:ascii="Arial" w:eastAsia="Calibri" w:hAnsi="Arial" w:cs="Arial"/>
          <w:sz w:val="20"/>
          <w:szCs w:val="20"/>
          <w:lang w:val="en-NZ"/>
        </w:rPr>
      </w:pPr>
      <w:r w:rsidRPr="004542B7">
        <w:rPr>
          <w:rFonts w:ascii="Arial" w:eastAsia="Calibri" w:hAnsi="Arial" w:cs="Arial"/>
          <w:sz w:val="20"/>
          <w:szCs w:val="20"/>
          <w:lang w:val="en-NZ"/>
        </w:rPr>
        <w:t xml:space="preserve">stakeholder engagement, communication and rapid alert systems; </w:t>
      </w:r>
    </w:p>
    <w:p w:rsidR="004542B7" w:rsidRPr="004542B7" w:rsidRDefault="004542B7" w:rsidP="00637FD5">
      <w:pPr>
        <w:widowControl w:val="0"/>
        <w:numPr>
          <w:ilvl w:val="0"/>
          <w:numId w:val="16"/>
        </w:numPr>
        <w:spacing w:after="120"/>
        <w:ind w:left="1151" w:hanging="357"/>
        <w:jc w:val="both"/>
        <w:rPr>
          <w:rFonts w:ascii="Arial" w:eastAsia="Calibri" w:hAnsi="Arial" w:cs="Arial"/>
          <w:bCs/>
          <w:sz w:val="20"/>
          <w:szCs w:val="20"/>
          <w:lang w:val="en-NZ"/>
        </w:rPr>
      </w:pPr>
      <w:r w:rsidRPr="004542B7">
        <w:rPr>
          <w:rFonts w:ascii="Arial" w:eastAsia="Calibri" w:hAnsi="Arial" w:cs="Arial"/>
          <w:sz w:val="20"/>
          <w:szCs w:val="20"/>
          <w:lang w:val="en-NZ"/>
        </w:rPr>
        <w:t>system overview monitoring and evaluation programs</w:t>
      </w:r>
      <w:r w:rsidRPr="004542B7">
        <w:rPr>
          <w:rFonts w:ascii="Arial" w:eastAsia="Calibri" w:hAnsi="Arial" w:cs="Arial"/>
          <w:bCs/>
          <w:sz w:val="20"/>
          <w:szCs w:val="20"/>
          <w:lang w:val="en-NZ"/>
        </w:rPr>
        <w:t>, or existing conformity assessment procedures; or</w:t>
      </w:r>
    </w:p>
    <w:p w:rsidR="004542B7" w:rsidRPr="004542B7" w:rsidRDefault="004542B7" w:rsidP="00637FD5">
      <w:pPr>
        <w:widowControl w:val="0"/>
        <w:numPr>
          <w:ilvl w:val="0"/>
          <w:numId w:val="16"/>
        </w:numPr>
        <w:spacing w:after="120"/>
        <w:ind w:left="1151" w:hanging="357"/>
        <w:jc w:val="both"/>
        <w:rPr>
          <w:rFonts w:ascii="Arial" w:eastAsia="Calibri" w:hAnsi="Arial" w:cs="Arial"/>
          <w:sz w:val="20"/>
          <w:szCs w:val="20"/>
          <w:lang w:val="en-NZ"/>
        </w:rPr>
      </w:pPr>
      <w:r w:rsidRPr="004542B7">
        <w:rPr>
          <w:rFonts w:ascii="Arial" w:eastAsia="Calibri" w:hAnsi="Arial" w:cs="Arial"/>
          <w:sz w:val="20"/>
          <w:szCs w:val="20"/>
          <w:lang w:val="en-NZ"/>
        </w:rPr>
        <w:t>any other elements directly relevant to the specific products or programs under consideration.</w:t>
      </w:r>
    </w:p>
    <w:p w:rsidR="004542B7" w:rsidRPr="004542B7" w:rsidRDefault="004542B7" w:rsidP="00637FD5">
      <w:pPr>
        <w:widowControl w:val="0"/>
        <w:spacing w:after="120"/>
        <w:jc w:val="both"/>
        <w:rPr>
          <w:rFonts w:ascii="Arial" w:eastAsia="Calibri" w:hAnsi="Arial" w:cs="Arial"/>
          <w:sz w:val="20"/>
          <w:szCs w:val="20"/>
          <w:lang w:val="en-NZ"/>
        </w:rPr>
      </w:pPr>
      <w:r w:rsidRPr="004542B7">
        <w:rPr>
          <w:rFonts w:ascii="Arial" w:eastAsia="Calibri" w:hAnsi="Arial" w:cs="Arial"/>
          <w:sz w:val="20"/>
          <w:szCs w:val="20"/>
          <w:lang w:val="en-NZ"/>
        </w:rPr>
        <w:t>17</w:t>
      </w:r>
      <w:r w:rsidRPr="004542B7">
        <w:rPr>
          <w:rFonts w:ascii="Arial" w:eastAsia="Calibri" w:hAnsi="Arial" w:cs="Arial"/>
          <w:sz w:val="20"/>
          <w:szCs w:val="20"/>
          <w:lang w:val="en-NZ"/>
        </w:rPr>
        <w:tab/>
        <w:t xml:space="preserve">In describing its own NFCS or the relevant part, the importing country may include reference to relevant standards, guidelines, and/or codes of practice from Codex or </w:t>
      </w:r>
      <w:bookmarkStart w:id="10" w:name="_Hlk72509881"/>
      <w:r w:rsidRPr="004542B7">
        <w:rPr>
          <w:rFonts w:ascii="Arial" w:eastAsia="Calibri" w:hAnsi="Arial" w:cs="Arial"/>
          <w:bCs/>
          <w:sz w:val="20"/>
          <w:szCs w:val="20"/>
          <w:lang w:val="en-NZ"/>
        </w:rPr>
        <w:t>other recognised international standard setting bodies</w:t>
      </w:r>
      <w:r w:rsidRPr="004542B7">
        <w:rPr>
          <w:rFonts w:ascii="Arial" w:eastAsia="Calibri" w:hAnsi="Arial" w:cs="Arial"/>
          <w:sz w:val="20"/>
          <w:szCs w:val="20"/>
          <w:lang w:val="en-NZ"/>
        </w:rPr>
        <w:t xml:space="preserve">. </w:t>
      </w:r>
    </w:p>
    <w:bookmarkEnd w:id="10"/>
    <w:p w:rsidR="004542B7" w:rsidRPr="004542B7" w:rsidRDefault="004542B7" w:rsidP="00637FD5">
      <w:pPr>
        <w:widowControl w:val="0"/>
        <w:spacing w:after="120"/>
        <w:jc w:val="both"/>
        <w:rPr>
          <w:rFonts w:ascii="Arial" w:eastAsia="Calibri" w:hAnsi="Arial" w:cs="Arial"/>
          <w:b/>
          <w:bCs/>
          <w:sz w:val="20"/>
          <w:szCs w:val="20"/>
          <w:lang w:val="en-US"/>
        </w:rPr>
      </w:pPr>
      <w:r w:rsidRPr="004542B7">
        <w:rPr>
          <w:rFonts w:ascii="Arial" w:eastAsia="Calibri" w:hAnsi="Arial" w:cs="Arial"/>
          <w:b/>
          <w:sz w:val="20"/>
          <w:szCs w:val="20"/>
        </w:rPr>
        <w:t>5.3</w:t>
      </w:r>
      <w:r w:rsidRPr="004542B7">
        <w:rPr>
          <w:rFonts w:ascii="Arial" w:eastAsia="Calibri" w:hAnsi="Arial" w:cs="Arial"/>
          <w:b/>
          <w:sz w:val="20"/>
          <w:szCs w:val="20"/>
        </w:rPr>
        <w:tab/>
        <w:t xml:space="preserve">STEP 3: </w:t>
      </w:r>
      <w:r w:rsidRPr="004542B7">
        <w:rPr>
          <w:rFonts w:ascii="Arial" w:eastAsia="Calibri" w:hAnsi="Arial" w:cs="Arial"/>
          <w:b/>
          <w:bCs/>
          <w:sz w:val="20"/>
          <w:szCs w:val="20"/>
          <w:lang w:val="en-US"/>
        </w:rPr>
        <w:t xml:space="preserve">THE DECISION CRITERIA FOR COMPARISON </w:t>
      </w:r>
    </w:p>
    <w:p w:rsidR="004542B7" w:rsidRPr="004542B7" w:rsidRDefault="004542B7" w:rsidP="00637FD5">
      <w:pPr>
        <w:widowControl w:val="0"/>
        <w:spacing w:after="120"/>
        <w:jc w:val="both"/>
        <w:rPr>
          <w:rFonts w:ascii="Arial" w:eastAsia="Calibri" w:hAnsi="Arial" w:cs="Arial"/>
          <w:sz w:val="20"/>
          <w:szCs w:val="20"/>
        </w:rPr>
      </w:pPr>
      <w:r w:rsidRPr="004542B7">
        <w:rPr>
          <w:rFonts w:ascii="Arial" w:eastAsia="Calibri" w:hAnsi="Arial" w:cs="Arial"/>
          <w:sz w:val="20"/>
          <w:szCs w:val="20"/>
        </w:rPr>
        <w:t>18</w:t>
      </w:r>
      <w:r w:rsidRPr="004542B7">
        <w:rPr>
          <w:rFonts w:ascii="Arial" w:eastAsia="Calibri" w:hAnsi="Arial" w:cs="Arial"/>
          <w:sz w:val="20"/>
          <w:szCs w:val="20"/>
        </w:rPr>
        <w:tab/>
        <w:t>Once the request for consultations on a recognition of equivalence of a NFCS or the relevant part</w:t>
      </w:r>
      <w:r w:rsidRPr="004542B7">
        <w:rPr>
          <w:rFonts w:ascii="Arial" w:eastAsia="Calibri" w:hAnsi="Arial"/>
          <w:sz w:val="22"/>
          <w:szCs w:val="22"/>
          <w:lang w:val="en-NZ"/>
        </w:rPr>
        <w:t xml:space="preserve"> </w:t>
      </w:r>
      <w:r w:rsidRPr="004542B7">
        <w:rPr>
          <w:rFonts w:ascii="Arial" w:eastAsia="Calibri" w:hAnsi="Arial" w:cs="Arial"/>
          <w:sz w:val="20"/>
          <w:szCs w:val="20"/>
        </w:rPr>
        <w:t xml:space="preserve">has been made, the importing country should document the decision criteria to be used to evaluate the exporting country’s NFCS or relevant part associated with the scope of the request.  The criteria should reference the relevant objectives, </w:t>
      </w:r>
      <w:bookmarkStart w:id="11" w:name="_Hlk100065566"/>
      <w:r w:rsidRPr="004542B7">
        <w:rPr>
          <w:rFonts w:ascii="Arial" w:eastAsia="Calibri" w:hAnsi="Arial" w:cs="Arial"/>
          <w:sz w:val="20"/>
          <w:szCs w:val="20"/>
        </w:rPr>
        <w:t xml:space="preserve">and </w:t>
      </w:r>
      <w:bookmarkEnd w:id="11"/>
      <w:r w:rsidRPr="004542B7">
        <w:rPr>
          <w:rFonts w:ascii="Arial" w:eastAsia="Calibri" w:hAnsi="Arial" w:cs="Arial"/>
          <w:sz w:val="20"/>
          <w:szCs w:val="20"/>
        </w:rPr>
        <w:t xml:space="preserve">related outcomes or level of protection, that must be shown to be achieved for recognition of equivalence.  The decision criteria document should be provided to and discussed with the exporting country in a cooperative manner. </w:t>
      </w:r>
    </w:p>
    <w:p w:rsidR="004542B7" w:rsidRPr="004542B7" w:rsidRDefault="004542B7" w:rsidP="00637FD5">
      <w:pPr>
        <w:widowControl w:val="0"/>
        <w:spacing w:after="120"/>
        <w:jc w:val="both"/>
        <w:rPr>
          <w:rFonts w:ascii="Arial" w:eastAsia="Calibri" w:hAnsi="Arial" w:cs="Arial"/>
          <w:sz w:val="20"/>
          <w:szCs w:val="20"/>
        </w:rPr>
      </w:pPr>
      <w:r w:rsidRPr="004542B7">
        <w:rPr>
          <w:rFonts w:ascii="Arial" w:eastAsia="Calibri" w:hAnsi="Arial" w:cs="Arial"/>
          <w:sz w:val="20"/>
          <w:szCs w:val="20"/>
        </w:rPr>
        <w:t>19</w:t>
      </w:r>
      <w:r w:rsidRPr="004542B7">
        <w:rPr>
          <w:rFonts w:ascii="Arial" w:eastAsia="Calibri" w:hAnsi="Arial" w:cs="Arial"/>
          <w:sz w:val="20"/>
          <w:szCs w:val="20"/>
        </w:rPr>
        <w:tab/>
        <w:t>The decision criteria should facilitate the importing country’s assessment process being able to determine whether or not the exporting country’s system design and implementation achieves the importing country’s relevant objectives, and related outcomes or level of protection, associated with the scope of the request.</w:t>
      </w:r>
      <w:r w:rsidRPr="004542B7">
        <w:rPr>
          <w:rFonts w:ascii="Arial" w:eastAsia="Calibri" w:hAnsi="Arial" w:cs="Arial"/>
          <w:sz w:val="20"/>
          <w:szCs w:val="20"/>
          <w:vertAlign w:val="superscript"/>
        </w:rPr>
        <w:footnoteReference w:id="14"/>
      </w:r>
      <w:r w:rsidRPr="004542B7">
        <w:rPr>
          <w:rFonts w:ascii="Arial" w:eastAsia="Calibri" w:hAnsi="Arial" w:cs="Arial"/>
          <w:sz w:val="20"/>
          <w:szCs w:val="20"/>
        </w:rPr>
        <w:t xml:space="preserve"> </w:t>
      </w:r>
    </w:p>
    <w:p w:rsidR="004542B7" w:rsidRPr="004542B7" w:rsidRDefault="004542B7" w:rsidP="00637FD5">
      <w:pPr>
        <w:widowControl w:val="0"/>
        <w:spacing w:after="120"/>
        <w:jc w:val="both"/>
        <w:rPr>
          <w:rFonts w:ascii="Arial" w:eastAsia="Calibri" w:hAnsi="Arial" w:cs="Arial"/>
          <w:sz w:val="20"/>
          <w:szCs w:val="20"/>
        </w:rPr>
      </w:pPr>
      <w:r w:rsidRPr="004542B7">
        <w:rPr>
          <w:rFonts w:ascii="Arial" w:eastAsia="Calibri" w:hAnsi="Arial" w:cs="Arial"/>
          <w:sz w:val="20"/>
          <w:szCs w:val="20"/>
        </w:rPr>
        <w:t>20</w:t>
      </w:r>
      <w:r w:rsidRPr="004542B7">
        <w:rPr>
          <w:rFonts w:ascii="Arial" w:eastAsia="Calibri" w:hAnsi="Arial" w:cs="Arial"/>
          <w:sz w:val="20"/>
          <w:szCs w:val="20"/>
        </w:rPr>
        <w:tab/>
        <w:t>The decision criteria may be qualitative or quantitative and may include for example:</w:t>
      </w:r>
    </w:p>
    <w:p w:rsidR="004542B7" w:rsidRPr="004542B7" w:rsidRDefault="004542B7" w:rsidP="00637FD5">
      <w:pPr>
        <w:widowControl w:val="0"/>
        <w:numPr>
          <w:ilvl w:val="0"/>
          <w:numId w:val="16"/>
        </w:numPr>
        <w:spacing w:after="120"/>
        <w:jc w:val="both"/>
        <w:rPr>
          <w:rFonts w:ascii="Arial" w:eastAsia="Calibri" w:hAnsi="Arial" w:cs="Arial"/>
          <w:sz w:val="20"/>
          <w:szCs w:val="20"/>
          <w:lang w:val="en-NZ"/>
        </w:rPr>
      </w:pPr>
      <w:r w:rsidRPr="004542B7">
        <w:rPr>
          <w:rFonts w:ascii="Arial" w:eastAsia="Calibri" w:hAnsi="Arial" w:cs="Arial"/>
          <w:sz w:val="20"/>
          <w:szCs w:val="20"/>
          <w:lang w:val="en-NZ"/>
        </w:rPr>
        <w:t xml:space="preserve">the level of qualitative or quantitative evidence that is expected; </w:t>
      </w:r>
    </w:p>
    <w:p w:rsidR="004542B7" w:rsidRPr="004542B7" w:rsidRDefault="004542B7" w:rsidP="00637FD5">
      <w:pPr>
        <w:widowControl w:val="0"/>
        <w:numPr>
          <w:ilvl w:val="0"/>
          <w:numId w:val="16"/>
        </w:numPr>
        <w:spacing w:after="120"/>
        <w:jc w:val="both"/>
        <w:rPr>
          <w:rFonts w:ascii="Arial" w:eastAsia="Calibri" w:hAnsi="Arial" w:cs="Arial"/>
          <w:sz w:val="20"/>
          <w:szCs w:val="20"/>
          <w:lang w:val="en-NZ"/>
        </w:rPr>
      </w:pPr>
      <w:r w:rsidRPr="004542B7">
        <w:rPr>
          <w:rFonts w:ascii="Arial" w:eastAsia="Calibri" w:hAnsi="Arial" w:cs="Arial"/>
          <w:sz w:val="20"/>
          <w:szCs w:val="20"/>
          <w:lang w:val="en-NZ"/>
        </w:rPr>
        <w:t>the indicators</w:t>
      </w:r>
      <w:r w:rsidRPr="004542B7">
        <w:rPr>
          <w:rFonts w:ascii="Arial" w:eastAsia="Calibri" w:hAnsi="Arial" w:cs="Arial"/>
          <w:sz w:val="20"/>
          <w:szCs w:val="20"/>
          <w:vertAlign w:val="superscript"/>
          <w:lang w:val="en-NZ"/>
        </w:rPr>
        <w:footnoteReference w:id="15"/>
      </w:r>
      <w:r w:rsidRPr="004542B7">
        <w:rPr>
          <w:rFonts w:ascii="Arial" w:eastAsia="Calibri" w:hAnsi="Arial" w:cs="Arial"/>
          <w:sz w:val="20"/>
          <w:szCs w:val="20"/>
          <w:lang w:val="en-NZ"/>
        </w:rPr>
        <w:t xml:space="preserve"> of outcomes if these are to be used to facilitate comparisons; </w:t>
      </w:r>
    </w:p>
    <w:p w:rsidR="004542B7" w:rsidRPr="004542B7" w:rsidRDefault="004542B7" w:rsidP="00637FD5">
      <w:pPr>
        <w:widowControl w:val="0"/>
        <w:numPr>
          <w:ilvl w:val="0"/>
          <w:numId w:val="16"/>
        </w:numPr>
        <w:spacing w:after="120"/>
        <w:jc w:val="both"/>
        <w:rPr>
          <w:rFonts w:ascii="Arial" w:eastAsia="Calibri" w:hAnsi="Arial" w:cs="Arial"/>
          <w:sz w:val="20"/>
          <w:szCs w:val="20"/>
          <w:lang w:val="en-NZ"/>
        </w:rPr>
      </w:pPr>
      <w:r w:rsidRPr="004542B7">
        <w:rPr>
          <w:rFonts w:ascii="Arial" w:eastAsia="Calibri" w:hAnsi="Arial" w:cs="Arial"/>
          <w:sz w:val="20"/>
          <w:szCs w:val="20"/>
          <w:lang w:val="en-NZ"/>
        </w:rPr>
        <w:t xml:space="preserve">the level of protection achieved by the importing country’s NCFS or relevant part, and </w:t>
      </w:r>
    </w:p>
    <w:p w:rsidR="004542B7" w:rsidRPr="004542B7" w:rsidRDefault="004542B7" w:rsidP="00637FD5">
      <w:pPr>
        <w:widowControl w:val="0"/>
        <w:numPr>
          <w:ilvl w:val="0"/>
          <w:numId w:val="16"/>
        </w:numPr>
        <w:spacing w:after="120"/>
        <w:ind w:left="1151" w:hanging="357"/>
        <w:jc w:val="both"/>
        <w:rPr>
          <w:rFonts w:ascii="Arial" w:eastAsia="Calibri" w:hAnsi="Arial" w:cs="Arial"/>
          <w:sz w:val="20"/>
          <w:szCs w:val="20"/>
          <w:lang w:val="en-NZ"/>
        </w:rPr>
      </w:pPr>
      <w:r w:rsidRPr="004542B7">
        <w:rPr>
          <w:rFonts w:ascii="Arial" w:eastAsia="Calibri" w:hAnsi="Arial" w:cs="Arial"/>
          <w:sz w:val="20"/>
          <w:szCs w:val="20"/>
          <w:lang w:val="en-NZ"/>
        </w:rPr>
        <w:t xml:space="preserve">how experience, knowledge and confidence are to be used. </w:t>
      </w:r>
    </w:p>
    <w:p w:rsidR="004542B7" w:rsidRPr="004542B7" w:rsidRDefault="004542B7" w:rsidP="00637FD5">
      <w:pPr>
        <w:widowControl w:val="0"/>
        <w:spacing w:after="120"/>
        <w:jc w:val="both"/>
        <w:rPr>
          <w:rFonts w:ascii="Arial" w:eastAsia="Calibri" w:hAnsi="Arial" w:cs="Arial"/>
          <w:sz w:val="20"/>
          <w:szCs w:val="20"/>
          <w:lang w:val="en-NZ"/>
        </w:rPr>
      </w:pPr>
      <w:r w:rsidRPr="004542B7">
        <w:rPr>
          <w:rFonts w:ascii="Arial" w:eastAsia="Calibri" w:hAnsi="Arial" w:cs="Arial"/>
          <w:sz w:val="20"/>
          <w:szCs w:val="20"/>
          <w:lang w:val="en-NZ"/>
        </w:rPr>
        <w:t>21</w:t>
      </w:r>
      <w:r w:rsidRPr="004542B7">
        <w:rPr>
          <w:rFonts w:ascii="Arial" w:eastAsia="Calibri" w:hAnsi="Arial" w:cs="Arial"/>
          <w:sz w:val="20"/>
          <w:szCs w:val="20"/>
          <w:lang w:val="en-NZ"/>
        </w:rPr>
        <w:tab/>
        <w:t xml:space="preserve">The decision criteria should focus on the performance of the NFCS </w:t>
      </w:r>
      <w:bookmarkStart w:id="12" w:name="_Hlk115347174"/>
      <w:r w:rsidRPr="004542B7">
        <w:rPr>
          <w:rFonts w:ascii="Arial" w:eastAsia="Calibri" w:hAnsi="Arial" w:cs="Arial"/>
          <w:sz w:val="20"/>
          <w:szCs w:val="20"/>
          <w:lang w:val="en-NZ"/>
        </w:rPr>
        <w:t xml:space="preserve">in whole </w:t>
      </w:r>
      <w:bookmarkEnd w:id="12"/>
      <w:r w:rsidRPr="004542B7">
        <w:rPr>
          <w:rFonts w:ascii="Arial" w:eastAsia="Calibri" w:hAnsi="Arial" w:cs="Arial"/>
          <w:sz w:val="20"/>
          <w:szCs w:val="20"/>
          <w:lang w:val="en-NZ"/>
        </w:rPr>
        <w:t xml:space="preserve">or the relevant part as opposed to individual procedures or measures.  </w:t>
      </w:r>
    </w:p>
    <w:p w:rsidR="004542B7" w:rsidRPr="004542B7" w:rsidRDefault="004542B7" w:rsidP="00637FD5">
      <w:pPr>
        <w:widowControl w:val="0"/>
        <w:spacing w:after="120"/>
        <w:jc w:val="both"/>
        <w:rPr>
          <w:rFonts w:ascii="Arial" w:eastAsia="Calibri" w:hAnsi="Arial" w:cs="Arial"/>
          <w:sz w:val="20"/>
          <w:szCs w:val="20"/>
        </w:rPr>
      </w:pPr>
      <w:bookmarkStart w:id="13" w:name="_Hlk72851148"/>
      <w:r w:rsidRPr="004542B7">
        <w:rPr>
          <w:rFonts w:ascii="Arial" w:eastAsia="Calibri" w:hAnsi="Arial" w:cs="Arial"/>
          <w:sz w:val="20"/>
          <w:szCs w:val="20"/>
        </w:rPr>
        <w:t>22</w:t>
      </w:r>
      <w:r w:rsidRPr="004542B7">
        <w:rPr>
          <w:rFonts w:ascii="Arial" w:eastAsia="Calibri" w:hAnsi="Arial" w:cs="Arial"/>
          <w:sz w:val="20"/>
          <w:szCs w:val="20"/>
        </w:rPr>
        <w:tab/>
        <w:t xml:space="preserve">Where the objectives of any part of the NFCS under consideration relate to the protection of the health of consumers </w:t>
      </w:r>
      <w:bookmarkStart w:id="14" w:name="_Hlk71838575"/>
      <w:r w:rsidRPr="004542B7">
        <w:rPr>
          <w:rFonts w:ascii="Arial" w:eastAsia="Calibri" w:hAnsi="Arial" w:cs="Arial"/>
          <w:sz w:val="20"/>
          <w:szCs w:val="20"/>
        </w:rPr>
        <w:t xml:space="preserve">the decision criteria should focus on whether the exporting country NFCS </w:t>
      </w:r>
      <w:r w:rsidRPr="004542B7">
        <w:rPr>
          <w:rFonts w:ascii="Arial" w:eastAsia="Calibri" w:hAnsi="Arial" w:cs="Arial"/>
          <w:sz w:val="20"/>
          <w:szCs w:val="20"/>
          <w:lang w:val="en-NZ"/>
        </w:rPr>
        <w:t xml:space="preserve">in whole </w:t>
      </w:r>
      <w:r w:rsidRPr="004542B7">
        <w:rPr>
          <w:rFonts w:ascii="Arial" w:eastAsia="Calibri" w:hAnsi="Arial" w:cs="Arial"/>
          <w:sz w:val="20"/>
          <w:szCs w:val="20"/>
        </w:rPr>
        <w:t xml:space="preserve">or the relevant part </w:t>
      </w:r>
      <w:bookmarkEnd w:id="14"/>
      <w:r w:rsidRPr="004542B7">
        <w:rPr>
          <w:rFonts w:ascii="Arial" w:eastAsia="Calibri" w:hAnsi="Arial" w:cs="Arial"/>
          <w:sz w:val="20"/>
          <w:szCs w:val="20"/>
        </w:rPr>
        <w:t xml:space="preserve">achieves the </w:t>
      </w:r>
      <w:r w:rsidRPr="004542B7">
        <w:rPr>
          <w:rFonts w:ascii="Arial" w:eastAsia="Calibri" w:hAnsi="Arial" w:cs="Arial"/>
          <w:strike/>
          <w:sz w:val="20"/>
          <w:szCs w:val="20"/>
        </w:rPr>
        <w:t>l</w:t>
      </w:r>
      <w:r w:rsidRPr="004542B7">
        <w:rPr>
          <w:rFonts w:ascii="Arial" w:eastAsia="Calibri" w:hAnsi="Arial" w:cs="Arial"/>
          <w:sz w:val="20"/>
          <w:szCs w:val="20"/>
        </w:rPr>
        <w:t>evel of protection as set by the importing country.</w:t>
      </w:r>
    </w:p>
    <w:p w:rsidR="004542B7" w:rsidRPr="004542B7" w:rsidRDefault="004542B7" w:rsidP="00637FD5">
      <w:pPr>
        <w:widowControl w:val="0"/>
        <w:spacing w:after="120"/>
        <w:jc w:val="both"/>
        <w:rPr>
          <w:rFonts w:ascii="Arial" w:hAnsi="Arial" w:cs="Arial"/>
          <w:noProof/>
          <w:sz w:val="20"/>
          <w:szCs w:val="20"/>
          <w:lang w:val="en-US"/>
        </w:rPr>
      </w:pPr>
      <w:bookmarkStart w:id="15" w:name="_Hlk72334052"/>
      <w:bookmarkEnd w:id="13"/>
      <w:r w:rsidRPr="004542B7">
        <w:rPr>
          <w:rFonts w:ascii="Arial" w:hAnsi="Arial" w:cs="Arial"/>
          <w:noProof/>
          <w:sz w:val="20"/>
          <w:szCs w:val="20"/>
          <w:lang w:val="en-US"/>
        </w:rPr>
        <w:t>23</w:t>
      </w:r>
      <w:r w:rsidRPr="004542B7">
        <w:rPr>
          <w:rFonts w:ascii="Arial" w:hAnsi="Arial" w:cs="Arial"/>
          <w:noProof/>
          <w:sz w:val="20"/>
          <w:szCs w:val="20"/>
          <w:lang w:val="en-US"/>
        </w:rPr>
        <w:tab/>
        <w:t>Where the objectives of any part of the NFCS under consideration relate to matters set out in technical regulations, conformity assessment procedures, or standards, the decision criteria should focus on whether the exporting country’s NFCS in whole or the relevant part adequately achieves the relevant outcomes associated with the objectives of the importing country’s NFCS.</w:t>
      </w:r>
    </w:p>
    <w:bookmarkEnd w:id="15"/>
    <w:p w:rsidR="004542B7" w:rsidRPr="004542B7" w:rsidRDefault="004542B7" w:rsidP="00637FD5">
      <w:pPr>
        <w:widowControl w:val="0"/>
        <w:spacing w:after="120"/>
        <w:jc w:val="both"/>
        <w:rPr>
          <w:rFonts w:ascii="Arial" w:eastAsia="Calibri" w:hAnsi="Arial" w:cs="Arial"/>
          <w:sz w:val="20"/>
          <w:szCs w:val="20"/>
        </w:rPr>
      </w:pPr>
      <w:r w:rsidRPr="004542B7">
        <w:rPr>
          <w:rFonts w:ascii="Arial" w:eastAsia="Calibri" w:hAnsi="Arial" w:cs="Arial"/>
          <w:sz w:val="20"/>
          <w:szCs w:val="20"/>
        </w:rPr>
        <w:t>24</w:t>
      </w:r>
      <w:r w:rsidRPr="004542B7">
        <w:rPr>
          <w:rFonts w:ascii="Arial" w:eastAsia="Calibri" w:hAnsi="Arial" w:cs="Arial"/>
          <w:sz w:val="20"/>
          <w:szCs w:val="20"/>
        </w:rPr>
        <w:tab/>
        <w:t xml:space="preserve">The decision criteria should not apply a standard or level of performance in excess of that which the importing country’s NFCS or relevant part achieves as it relates to the protection of the health of consumers and ensuring fair practices in the food trade. </w:t>
      </w:r>
    </w:p>
    <w:p w:rsidR="004542B7" w:rsidRPr="004542B7" w:rsidRDefault="004542B7" w:rsidP="00637FD5">
      <w:pPr>
        <w:widowControl w:val="0"/>
        <w:spacing w:after="120"/>
        <w:jc w:val="both"/>
        <w:rPr>
          <w:rFonts w:ascii="Arial" w:eastAsia="Calibri" w:hAnsi="Arial" w:cs="Arial"/>
          <w:b/>
          <w:sz w:val="20"/>
          <w:szCs w:val="20"/>
          <w:lang w:val="en-NZ"/>
        </w:rPr>
      </w:pPr>
      <w:r w:rsidRPr="004542B7">
        <w:rPr>
          <w:rFonts w:ascii="Arial" w:eastAsia="Calibri" w:hAnsi="Arial" w:cs="Arial"/>
          <w:b/>
          <w:sz w:val="20"/>
          <w:szCs w:val="20"/>
        </w:rPr>
        <w:lastRenderedPageBreak/>
        <w:t>5.4</w:t>
      </w:r>
      <w:r w:rsidRPr="004542B7">
        <w:rPr>
          <w:rFonts w:ascii="Arial" w:eastAsia="Calibri" w:hAnsi="Arial" w:cs="Arial"/>
          <w:b/>
          <w:sz w:val="20"/>
          <w:szCs w:val="20"/>
        </w:rPr>
        <w:tab/>
        <w:t xml:space="preserve">STEP 4: </w:t>
      </w:r>
      <w:r w:rsidRPr="004542B7">
        <w:rPr>
          <w:rFonts w:ascii="Arial" w:eastAsia="Calibri" w:hAnsi="Arial" w:cs="Arial"/>
          <w:b/>
          <w:sz w:val="20"/>
          <w:szCs w:val="20"/>
          <w:lang w:val="en-NZ"/>
        </w:rPr>
        <w:t xml:space="preserve">DESCRIPTION OF EXPORTING COUNTRY’S NFCS OR RELEVANT PART </w:t>
      </w:r>
    </w:p>
    <w:p w:rsidR="004542B7" w:rsidRPr="004542B7" w:rsidRDefault="004542B7" w:rsidP="00637FD5">
      <w:pPr>
        <w:widowControl w:val="0"/>
        <w:spacing w:after="120"/>
        <w:jc w:val="both"/>
        <w:rPr>
          <w:rFonts w:ascii="Arial" w:eastAsia="Calibri" w:hAnsi="Arial" w:cs="Arial"/>
          <w:sz w:val="20"/>
          <w:szCs w:val="20"/>
          <w:lang w:val="en-NZ"/>
        </w:rPr>
      </w:pPr>
      <w:r w:rsidRPr="004542B7">
        <w:rPr>
          <w:rFonts w:ascii="Arial" w:eastAsia="Calibri" w:hAnsi="Arial" w:cs="Arial"/>
          <w:sz w:val="20"/>
          <w:szCs w:val="20"/>
          <w:lang w:val="en-NZ"/>
        </w:rPr>
        <w:t>25</w:t>
      </w:r>
      <w:r w:rsidRPr="004542B7">
        <w:rPr>
          <w:rFonts w:ascii="Arial" w:eastAsia="Calibri" w:hAnsi="Arial" w:cs="Arial"/>
          <w:sz w:val="20"/>
          <w:szCs w:val="20"/>
          <w:lang w:val="en-NZ"/>
        </w:rPr>
        <w:tab/>
        <w:t>The exporting country should make available</w:t>
      </w:r>
      <w:r w:rsidRPr="004542B7" w:rsidDel="00371537">
        <w:rPr>
          <w:rFonts w:ascii="Arial" w:eastAsia="Calibri" w:hAnsi="Arial" w:cs="Arial"/>
          <w:sz w:val="20"/>
          <w:szCs w:val="20"/>
          <w:lang w:val="en-NZ"/>
        </w:rPr>
        <w:t xml:space="preserve"> </w:t>
      </w:r>
      <w:r w:rsidRPr="004542B7">
        <w:rPr>
          <w:rFonts w:ascii="Arial" w:eastAsia="Calibri" w:hAnsi="Arial" w:cs="Arial"/>
          <w:sz w:val="20"/>
          <w:szCs w:val="20"/>
          <w:lang w:val="en-NZ"/>
        </w:rPr>
        <w:t xml:space="preserve">appropriate information, including relevant references and evidence that describes the exporting country’s NFCS or the relevant part and demonstrates how it achieves the objectives, and related outcomes or level of protection, of the importing country’s NFCS or relevant part for the foods and conditions of trade covered by the request. </w:t>
      </w:r>
    </w:p>
    <w:p w:rsidR="004542B7" w:rsidRPr="004542B7" w:rsidRDefault="004542B7" w:rsidP="00637FD5">
      <w:pPr>
        <w:widowControl w:val="0"/>
        <w:spacing w:after="120"/>
        <w:jc w:val="both"/>
        <w:rPr>
          <w:rFonts w:ascii="Arial" w:eastAsia="Calibri" w:hAnsi="Arial" w:cs="Arial"/>
          <w:sz w:val="20"/>
          <w:szCs w:val="20"/>
          <w:lang w:val="en-NZ"/>
        </w:rPr>
      </w:pPr>
      <w:r w:rsidRPr="004542B7">
        <w:rPr>
          <w:rFonts w:ascii="Arial" w:eastAsia="Calibri" w:hAnsi="Arial" w:cs="Arial"/>
          <w:sz w:val="20"/>
          <w:szCs w:val="20"/>
          <w:lang w:val="en-NZ"/>
        </w:rPr>
        <w:t>26</w:t>
      </w:r>
      <w:r w:rsidRPr="004542B7">
        <w:rPr>
          <w:rFonts w:ascii="Arial" w:eastAsia="Calibri" w:hAnsi="Arial" w:cs="Arial"/>
          <w:sz w:val="20"/>
          <w:szCs w:val="20"/>
          <w:lang w:val="en-NZ"/>
        </w:rPr>
        <w:tab/>
        <w:t>As far as practical, and especially where consistent with the relevant Codex guidance, importing countries should allow flexibility in the format of the information submitted by the exporting country.</w:t>
      </w:r>
      <w:r w:rsidRPr="004542B7">
        <w:rPr>
          <w:rFonts w:ascii="Arial" w:eastAsia="Calibri" w:hAnsi="Arial" w:cs="Arial"/>
          <w:sz w:val="20"/>
          <w:szCs w:val="20"/>
          <w:vertAlign w:val="superscript"/>
          <w:lang w:val="en-NZ"/>
        </w:rPr>
        <w:footnoteReference w:id="16"/>
      </w:r>
    </w:p>
    <w:p w:rsidR="004542B7" w:rsidRPr="004542B7" w:rsidRDefault="004542B7" w:rsidP="00637FD5">
      <w:pPr>
        <w:widowControl w:val="0"/>
        <w:spacing w:after="120"/>
        <w:jc w:val="both"/>
        <w:rPr>
          <w:rFonts w:ascii="Arial" w:eastAsia="Calibri" w:hAnsi="Arial" w:cs="Arial"/>
          <w:sz w:val="20"/>
          <w:szCs w:val="20"/>
          <w:lang w:val="en-NZ"/>
        </w:rPr>
      </w:pPr>
      <w:r w:rsidRPr="004542B7">
        <w:rPr>
          <w:rFonts w:ascii="Arial" w:eastAsia="Calibri" w:hAnsi="Arial" w:cs="Arial"/>
          <w:sz w:val="20"/>
          <w:szCs w:val="20"/>
          <w:lang w:val="en-NZ"/>
        </w:rPr>
        <w:t>27</w:t>
      </w:r>
      <w:r w:rsidRPr="004542B7">
        <w:rPr>
          <w:rFonts w:ascii="Arial" w:eastAsia="Calibri" w:hAnsi="Arial" w:cs="Arial"/>
          <w:sz w:val="20"/>
          <w:szCs w:val="20"/>
          <w:lang w:val="en-NZ"/>
        </w:rPr>
        <w:tab/>
        <w:t>Taking into consideration the scope of the request for recognition of equivalence and existing experience, knowledge and confidence, additional information exchanges may be required for those matters or elements of the exporting country NFCS which need to be subjected to a more detailed assessment.</w:t>
      </w:r>
    </w:p>
    <w:p w:rsidR="004542B7" w:rsidRPr="004542B7" w:rsidRDefault="004542B7" w:rsidP="00637FD5">
      <w:pPr>
        <w:widowControl w:val="0"/>
        <w:spacing w:after="120"/>
        <w:jc w:val="both"/>
        <w:rPr>
          <w:rFonts w:ascii="Arial" w:eastAsia="Calibri" w:hAnsi="Arial" w:cs="Arial"/>
          <w:b/>
          <w:sz w:val="20"/>
          <w:szCs w:val="20"/>
          <w:lang w:val="en-NZ"/>
        </w:rPr>
      </w:pPr>
      <w:r w:rsidRPr="004542B7">
        <w:rPr>
          <w:rFonts w:ascii="Arial" w:eastAsia="Calibri" w:hAnsi="Arial" w:cs="Arial"/>
          <w:b/>
          <w:sz w:val="20"/>
          <w:szCs w:val="20"/>
          <w:lang w:val="en-NZ"/>
        </w:rPr>
        <w:t>5.5</w:t>
      </w:r>
      <w:r w:rsidRPr="004542B7">
        <w:rPr>
          <w:rFonts w:ascii="Arial" w:eastAsia="Calibri" w:hAnsi="Arial" w:cs="Arial"/>
          <w:b/>
          <w:sz w:val="20"/>
          <w:szCs w:val="20"/>
          <w:lang w:val="en-NZ"/>
        </w:rPr>
        <w:tab/>
        <w:t>STEP 5: ASSESSMENT PROCESS</w:t>
      </w:r>
    </w:p>
    <w:p w:rsidR="004542B7" w:rsidRPr="004542B7" w:rsidRDefault="004542B7" w:rsidP="00637FD5">
      <w:pPr>
        <w:widowControl w:val="0"/>
        <w:spacing w:after="120"/>
        <w:jc w:val="both"/>
        <w:rPr>
          <w:rFonts w:ascii="Arial" w:eastAsia="Calibri" w:hAnsi="Arial" w:cs="Arial"/>
          <w:sz w:val="20"/>
          <w:szCs w:val="20"/>
          <w:lang w:val="en-NZ"/>
        </w:rPr>
      </w:pPr>
      <w:r w:rsidRPr="004542B7">
        <w:rPr>
          <w:rFonts w:ascii="Arial" w:eastAsia="Calibri" w:hAnsi="Arial" w:cs="Arial"/>
          <w:sz w:val="20"/>
          <w:szCs w:val="20"/>
          <w:lang w:val="en-NZ"/>
        </w:rPr>
        <w:t>28</w:t>
      </w:r>
      <w:r w:rsidRPr="004542B7">
        <w:rPr>
          <w:rFonts w:ascii="Arial" w:eastAsia="Calibri" w:hAnsi="Arial" w:cs="Arial"/>
          <w:sz w:val="20"/>
          <w:szCs w:val="20"/>
          <w:lang w:val="en-NZ"/>
        </w:rPr>
        <w:tab/>
        <w:t>Once the relevant information and evidence are available the assessment process can proceed.  The methodology used in the assessment process by the importing country should be transparent and evidence-based.  The importing country should focus its assessment on determining whether the exporting country’s NFCS in whole or the relevant part meets the decision criteria.  There should be an effective communication mechanism between both countries, for providing feedback.</w:t>
      </w:r>
    </w:p>
    <w:p w:rsidR="004542B7" w:rsidRPr="004542B7" w:rsidRDefault="004542B7" w:rsidP="00637FD5">
      <w:pPr>
        <w:widowControl w:val="0"/>
        <w:spacing w:after="120"/>
        <w:jc w:val="both"/>
        <w:rPr>
          <w:rFonts w:ascii="Arial" w:eastAsia="Calibri" w:hAnsi="Arial" w:cs="Arial"/>
          <w:sz w:val="20"/>
          <w:szCs w:val="20"/>
          <w:lang w:val="en-NZ"/>
        </w:rPr>
      </w:pPr>
      <w:r w:rsidRPr="004542B7">
        <w:rPr>
          <w:rFonts w:ascii="Arial" w:eastAsia="Calibri" w:hAnsi="Arial" w:cs="Arial"/>
          <w:sz w:val="20"/>
          <w:szCs w:val="20"/>
          <w:lang w:val="en-NZ"/>
        </w:rPr>
        <w:t>29</w:t>
      </w:r>
      <w:r w:rsidRPr="004542B7">
        <w:rPr>
          <w:rFonts w:ascii="Arial" w:eastAsia="Calibri" w:hAnsi="Arial" w:cs="Arial"/>
          <w:sz w:val="20"/>
          <w:szCs w:val="20"/>
          <w:lang w:val="en-NZ"/>
        </w:rPr>
        <w:tab/>
      </w:r>
      <w:bookmarkStart w:id="16" w:name="_Hlk122104190"/>
      <w:r w:rsidRPr="004542B7">
        <w:rPr>
          <w:rFonts w:ascii="Arial" w:eastAsia="Calibri" w:hAnsi="Arial" w:cs="Arial"/>
          <w:sz w:val="20"/>
          <w:szCs w:val="20"/>
          <w:lang w:val="en-NZ"/>
        </w:rPr>
        <w:t>The assessment process will normally comprise a number of steps. The exact process may vary depending on: the type of foods in the scope of the request and the complexity of controls; any pre-existing experience, knowledge and confidence; and the particular modification to existing trade conditions being sought. In general, the importing country should:</w:t>
      </w:r>
    </w:p>
    <w:p w:rsidR="004542B7" w:rsidRPr="004542B7" w:rsidRDefault="004542B7" w:rsidP="00637FD5">
      <w:pPr>
        <w:widowControl w:val="0"/>
        <w:numPr>
          <w:ilvl w:val="0"/>
          <w:numId w:val="19"/>
        </w:numPr>
        <w:spacing w:after="120"/>
        <w:ind w:left="1134" w:hanging="425"/>
        <w:jc w:val="both"/>
        <w:rPr>
          <w:rFonts w:ascii="Arial" w:eastAsia="Calibri" w:hAnsi="Arial" w:cs="Arial"/>
          <w:sz w:val="20"/>
          <w:szCs w:val="20"/>
          <w:lang w:val="en-NZ"/>
        </w:rPr>
      </w:pPr>
      <w:r w:rsidRPr="004542B7">
        <w:rPr>
          <w:rFonts w:ascii="Arial" w:eastAsia="Calibri" w:hAnsi="Arial" w:cs="Arial"/>
          <w:sz w:val="20"/>
          <w:szCs w:val="20"/>
          <w:lang w:val="en-NZ"/>
        </w:rPr>
        <w:t>consider whether the information submitted by the exporting country or otherwise available is sufficient to enable an appropriate assessment;</w:t>
      </w:r>
    </w:p>
    <w:p w:rsidR="004542B7" w:rsidRPr="004542B7" w:rsidRDefault="004542B7" w:rsidP="00637FD5">
      <w:pPr>
        <w:widowControl w:val="0"/>
        <w:numPr>
          <w:ilvl w:val="0"/>
          <w:numId w:val="19"/>
        </w:numPr>
        <w:spacing w:after="120"/>
        <w:ind w:left="1134" w:hanging="425"/>
        <w:jc w:val="both"/>
        <w:rPr>
          <w:rFonts w:ascii="Arial" w:eastAsia="Calibri" w:hAnsi="Arial" w:cs="Arial"/>
          <w:sz w:val="20"/>
          <w:szCs w:val="20"/>
          <w:lang w:val="en-NZ"/>
        </w:rPr>
      </w:pPr>
      <w:r w:rsidRPr="004542B7">
        <w:rPr>
          <w:rFonts w:ascii="Arial" w:eastAsia="Calibri" w:hAnsi="Arial" w:cs="Arial"/>
          <w:sz w:val="20"/>
          <w:szCs w:val="20"/>
          <w:lang w:val="en-NZ"/>
        </w:rPr>
        <w:t xml:space="preserve">proceed with an assessment applying the decision criteria and requesting additional information if deemed necessary; </w:t>
      </w:r>
    </w:p>
    <w:p w:rsidR="004542B7" w:rsidRPr="004542B7" w:rsidRDefault="004542B7" w:rsidP="00637FD5">
      <w:pPr>
        <w:widowControl w:val="0"/>
        <w:numPr>
          <w:ilvl w:val="0"/>
          <w:numId w:val="19"/>
        </w:numPr>
        <w:spacing w:after="120"/>
        <w:ind w:left="1134" w:hanging="425"/>
        <w:jc w:val="both"/>
        <w:rPr>
          <w:rFonts w:ascii="Arial" w:eastAsia="Calibri" w:hAnsi="Arial" w:cs="Arial"/>
          <w:sz w:val="20"/>
          <w:szCs w:val="20"/>
          <w:lang w:val="en-NZ"/>
        </w:rPr>
      </w:pPr>
      <w:r w:rsidRPr="004542B7">
        <w:rPr>
          <w:rFonts w:ascii="Arial" w:eastAsia="Calibri" w:hAnsi="Arial" w:cs="Arial"/>
          <w:sz w:val="20"/>
          <w:szCs w:val="20"/>
          <w:lang w:val="en-NZ"/>
        </w:rPr>
        <w:t xml:space="preserve">consider any additional information submitted by the exporting country at the request of the importing country that could facilitate the assessment process; </w:t>
      </w:r>
    </w:p>
    <w:p w:rsidR="004542B7" w:rsidRPr="004542B7" w:rsidRDefault="004542B7" w:rsidP="00637FD5">
      <w:pPr>
        <w:widowControl w:val="0"/>
        <w:numPr>
          <w:ilvl w:val="0"/>
          <w:numId w:val="19"/>
        </w:numPr>
        <w:spacing w:after="120"/>
        <w:ind w:left="1134" w:hanging="425"/>
        <w:jc w:val="both"/>
        <w:rPr>
          <w:rFonts w:ascii="Arial" w:eastAsia="Calibri" w:hAnsi="Arial" w:cs="Arial"/>
          <w:b/>
          <w:bCs/>
          <w:sz w:val="20"/>
          <w:szCs w:val="20"/>
          <w:u w:val="single"/>
          <w:lang w:val="en-NZ"/>
        </w:rPr>
      </w:pPr>
      <w:r w:rsidRPr="004542B7">
        <w:rPr>
          <w:rFonts w:ascii="Arial" w:eastAsia="Calibri" w:hAnsi="Arial" w:cs="Arial"/>
          <w:sz w:val="20"/>
          <w:szCs w:val="20"/>
          <w:lang w:val="en-NZ"/>
        </w:rPr>
        <w:t>where appropriate, convey to the exporting country any information for the addition of one or more specific controls to their NFCS that could facilitate the assessment process;</w:t>
      </w:r>
    </w:p>
    <w:p w:rsidR="004542B7" w:rsidRPr="004542B7" w:rsidRDefault="004542B7" w:rsidP="00637FD5">
      <w:pPr>
        <w:widowControl w:val="0"/>
        <w:numPr>
          <w:ilvl w:val="0"/>
          <w:numId w:val="19"/>
        </w:numPr>
        <w:spacing w:after="120"/>
        <w:ind w:left="1134" w:hanging="425"/>
        <w:jc w:val="both"/>
        <w:rPr>
          <w:rFonts w:ascii="Arial" w:eastAsia="Calibri" w:hAnsi="Arial" w:cs="Arial"/>
          <w:sz w:val="20"/>
          <w:szCs w:val="20"/>
          <w:lang w:val="en-NZ"/>
        </w:rPr>
      </w:pPr>
      <w:r w:rsidRPr="004542B7">
        <w:rPr>
          <w:rFonts w:ascii="Arial" w:eastAsia="Calibri" w:hAnsi="Arial" w:cs="Arial"/>
          <w:sz w:val="20"/>
          <w:szCs w:val="20"/>
          <w:lang w:val="en-NZ"/>
        </w:rPr>
        <w:t>consider any additional controls proposed by the exporting country to facilitate a positive determination.</w:t>
      </w:r>
    </w:p>
    <w:bookmarkEnd w:id="16"/>
    <w:p w:rsidR="004542B7" w:rsidRPr="004542B7" w:rsidRDefault="004542B7" w:rsidP="00637FD5">
      <w:pPr>
        <w:widowControl w:val="0"/>
        <w:spacing w:after="120"/>
        <w:jc w:val="both"/>
        <w:rPr>
          <w:rFonts w:ascii="Arial" w:eastAsia="Calibri" w:hAnsi="Arial" w:cs="Arial"/>
          <w:sz w:val="20"/>
          <w:szCs w:val="20"/>
          <w:lang w:val="en-NZ"/>
        </w:rPr>
      </w:pPr>
      <w:r w:rsidRPr="004542B7">
        <w:rPr>
          <w:rFonts w:ascii="Arial" w:eastAsia="Calibri" w:hAnsi="Arial" w:cs="Arial"/>
          <w:sz w:val="20"/>
          <w:szCs w:val="20"/>
          <w:lang w:val="en-NZ"/>
        </w:rPr>
        <w:t>30</w:t>
      </w:r>
      <w:r w:rsidRPr="004542B7">
        <w:rPr>
          <w:rFonts w:ascii="Arial" w:eastAsia="Calibri" w:hAnsi="Arial" w:cs="Arial"/>
          <w:sz w:val="20"/>
          <w:szCs w:val="20"/>
          <w:lang w:val="en-NZ"/>
        </w:rPr>
        <w:tab/>
        <w:t xml:space="preserve">The importing country’s assessment process should: </w:t>
      </w:r>
    </w:p>
    <w:p w:rsidR="004542B7" w:rsidRPr="004542B7" w:rsidRDefault="004542B7" w:rsidP="00637FD5">
      <w:pPr>
        <w:widowControl w:val="0"/>
        <w:numPr>
          <w:ilvl w:val="0"/>
          <w:numId w:val="16"/>
        </w:numPr>
        <w:spacing w:after="120"/>
        <w:ind w:left="1134" w:hanging="425"/>
        <w:jc w:val="both"/>
        <w:rPr>
          <w:rFonts w:ascii="Arial" w:eastAsia="Calibri" w:hAnsi="Arial" w:cs="Arial"/>
          <w:sz w:val="20"/>
          <w:szCs w:val="20"/>
          <w:lang w:val="en-NZ"/>
        </w:rPr>
      </w:pPr>
      <w:r w:rsidRPr="004542B7">
        <w:rPr>
          <w:rFonts w:ascii="Arial" w:eastAsia="Calibri" w:hAnsi="Arial" w:cs="Arial"/>
          <w:sz w:val="20"/>
          <w:szCs w:val="20"/>
          <w:lang w:val="en-NZ"/>
        </w:rPr>
        <w:t>focus on whether the exporting country’s NFCS in whole or the relevant part achieves the objectives, and related outcomes or level of protection, of the importing country’s NFCS or the relevant part in accordance with the decision criteria (as opposed to whether specific procedures or functions, undertaken by certain parties in the importing country, are replicated);</w:t>
      </w:r>
    </w:p>
    <w:p w:rsidR="004542B7" w:rsidRPr="004542B7" w:rsidRDefault="004542B7" w:rsidP="00637FD5">
      <w:pPr>
        <w:widowControl w:val="0"/>
        <w:numPr>
          <w:ilvl w:val="0"/>
          <w:numId w:val="16"/>
        </w:numPr>
        <w:spacing w:after="120"/>
        <w:ind w:left="1134" w:hanging="425"/>
        <w:jc w:val="both"/>
        <w:rPr>
          <w:rFonts w:ascii="Arial" w:eastAsia="Calibri" w:hAnsi="Arial" w:cs="Arial"/>
          <w:sz w:val="20"/>
          <w:szCs w:val="20"/>
          <w:lang w:val="en-NZ"/>
        </w:rPr>
      </w:pPr>
      <w:r w:rsidRPr="004542B7">
        <w:rPr>
          <w:rFonts w:ascii="Arial" w:eastAsia="Calibri" w:hAnsi="Arial" w:cs="Arial"/>
          <w:sz w:val="20"/>
          <w:szCs w:val="20"/>
          <w:lang w:val="en-NZ"/>
        </w:rPr>
        <w:t>allow for indicators of outcomes different to the importing country’s to be used by the exporting country to demonstrate the performance of its NFCS in whole or the relevant part to achieve the importing country’s objectives, and related outcomes or level of protection;</w:t>
      </w:r>
    </w:p>
    <w:p w:rsidR="004542B7" w:rsidRPr="004542B7" w:rsidRDefault="004542B7" w:rsidP="00637FD5">
      <w:pPr>
        <w:widowControl w:val="0"/>
        <w:numPr>
          <w:ilvl w:val="0"/>
          <w:numId w:val="16"/>
        </w:numPr>
        <w:spacing w:after="120"/>
        <w:ind w:left="1134" w:hanging="425"/>
        <w:jc w:val="both"/>
        <w:rPr>
          <w:rFonts w:ascii="Arial" w:eastAsia="Calibri" w:hAnsi="Arial" w:cs="Arial"/>
          <w:sz w:val="20"/>
          <w:szCs w:val="20"/>
          <w:lang w:val="en-NZ"/>
        </w:rPr>
      </w:pPr>
      <w:r w:rsidRPr="004542B7">
        <w:rPr>
          <w:rFonts w:ascii="Arial" w:eastAsia="Calibri" w:hAnsi="Arial" w:cs="Arial"/>
          <w:sz w:val="20"/>
          <w:szCs w:val="20"/>
          <w:lang w:val="en-NZ"/>
        </w:rPr>
        <w:t>weigh the outcome of the various elements of the exporting country’s NFCS relative to their impact on achieving the objectives and or overarching goals of the importing country’s NFCS or relevant part;</w:t>
      </w:r>
    </w:p>
    <w:p w:rsidR="004542B7" w:rsidRPr="004542B7" w:rsidRDefault="004542B7" w:rsidP="00637FD5">
      <w:pPr>
        <w:widowControl w:val="0"/>
        <w:numPr>
          <w:ilvl w:val="0"/>
          <w:numId w:val="16"/>
        </w:numPr>
        <w:spacing w:after="120"/>
        <w:ind w:left="1134" w:hanging="425"/>
        <w:jc w:val="both"/>
        <w:rPr>
          <w:rFonts w:ascii="Arial" w:eastAsia="Calibri" w:hAnsi="Arial" w:cs="Arial"/>
          <w:sz w:val="20"/>
          <w:szCs w:val="20"/>
          <w:lang w:val="en-NZ"/>
        </w:rPr>
      </w:pPr>
      <w:bookmarkStart w:id="17" w:name="_Hlk122104899"/>
      <w:r w:rsidRPr="004542B7">
        <w:rPr>
          <w:rFonts w:ascii="Arial" w:eastAsia="Calibri" w:hAnsi="Arial" w:cs="Arial"/>
          <w:sz w:val="20"/>
          <w:szCs w:val="20"/>
          <w:lang w:val="en-NZ"/>
        </w:rPr>
        <w:t xml:space="preserve">be conducted in a cooperative and timely manner and may include the review of documents, and the use of in-country assessments / </w:t>
      </w:r>
      <w:bookmarkStart w:id="18" w:name="_Hlk64292941"/>
      <w:r w:rsidRPr="004542B7">
        <w:rPr>
          <w:rFonts w:ascii="Arial" w:eastAsia="Calibri" w:hAnsi="Arial" w:cs="Arial"/>
          <w:sz w:val="20"/>
          <w:szCs w:val="20"/>
          <w:lang w:val="en-NZ"/>
        </w:rPr>
        <w:t>audits</w:t>
      </w:r>
      <w:r w:rsidRPr="004542B7">
        <w:rPr>
          <w:rFonts w:ascii="Arial" w:eastAsia="Calibri" w:hAnsi="Arial" w:cs="Arial"/>
          <w:sz w:val="20"/>
          <w:szCs w:val="20"/>
          <w:vertAlign w:val="superscript"/>
          <w:lang w:val="en-NZ"/>
        </w:rPr>
        <w:footnoteReference w:id="17"/>
      </w:r>
      <w:r w:rsidRPr="004542B7">
        <w:rPr>
          <w:rFonts w:ascii="Arial" w:eastAsia="Calibri" w:hAnsi="Arial" w:cs="Arial"/>
          <w:sz w:val="20"/>
          <w:szCs w:val="20"/>
          <w:lang w:val="en-NZ"/>
        </w:rPr>
        <w:t xml:space="preserve"> </w:t>
      </w:r>
      <w:bookmarkEnd w:id="18"/>
      <w:r w:rsidRPr="004542B7">
        <w:rPr>
          <w:rFonts w:ascii="Arial" w:eastAsia="Calibri" w:hAnsi="Arial" w:cs="Arial"/>
          <w:sz w:val="20"/>
          <w:szCs w:val="20"/>
          <w:lang w:val="en-NZ"/>
        </w:rPr>
        <w:t>where justified as necessary;</w:t>
      </w:r>
    </w:p>
    <w:p w:rsidR="004542B7" w:rsidRPr="004542B7" w:rsidRDefault="004542B7" w:rsidP="00637FD5">
      <w:pPr>
        <w:widowControl w:val="0"/>
        <w:numPr>
          <w:ilvl w:val="0"/>
          <w:numId w:val="16"/>
        </w:numPr>
        <w:spacing w:after="120"/>
        <w:ind w:left="1134" w:hanging="425"/>
        <w:jc w:val="both"/>
        <w:rPr>
          <w:rFonts w:ascii="Arial" w:eastAsia="Calibri" w:hAnsi="Arial" w:cs="Arial"/>
          <w:sz w:val="20"/>
          <w:szCs w:val="20"/>
          <w:lang w:val="en-NZ"/>
        </w:rPr>
      </w:pPr>
      <w:r w:rsidRPr="004542B7">
        <w:rPr>
          <w:rFonts w:ascii="Arial" w:eastAsia="Calibri" w:hAnsi="Arial" w:cs="Arial"/>
          <w:sz w:val="20"/>
          <w:szCs w:val="20"/>
          <w:lang w:val="en-NZ"/>
        </w:rPr>
        <w:t>allow for regular discussion / consultations between the countries and the provision of clarifications and / or supplementary information as required; and</w:t>
      </w:r>
    </w:p>
    <w:p w:rsidR="004542B7" w:rsidRPr="004542B7" w:rsidRDefault="004542B7" w:rsidP="00637FD5">
      <w:pPr>
        <w:widowControl w:val="0"/>
        <w:numPr>
          <w:ilvl w:val="0"/>
          <w:numId w:val="16"/>
        </w:numPr>
        <w:spacing w:after="120"/>
        <w:ind w:left="1134" w:hanging="425"/>
        <w:jc w:val="both"/>
        <w:rPr>
          <w:rFonts w:ascii="Arial" w:eastAsia="Calibri" w:hAnsi="Arial" w:cs="Arial"/>
          <w:sz w:val="20"/>
          <w:szCs w:val="20"/>
          <w:lang w:val="en-NZ"/>
        </w:rPr>
      </w:pPr>
      <w:r w:rsidRPr="004542B7">
        <w:rPr>
          <w:rFonts w:ascii="Arial" w:eastAsia="Calibri" w:hAnsi="Arial" w:cs="Arial"/>
          <w:sz w:val="20"/>
          <w:szCs w:val="20"/>
          <w:lang w:val="en-NZ"/>
        </w:rPr>
        <w:t>appropriately protect commercially sensitive and confidential information.</w:t>
      </w:r>
    </w:p>
    <w:bookmarkEnd w:id="17"/>
    <w:p w:rsidR="004542B7" w:rsidRPr="004542B7" w:rsidRDefault="004542B7" w:rsidP="00704246">
      <w:pPr>
        <w:keepNext/>
        <w:keepLines/>
        <w:widowControl w:val="0"/>
        <w:spacing w:after="120"/>
        <w:jc w:val="both"/>
        <w:rPr>
          <w:rFonts w:ascii="Arial" w:eastAsia="Calibri" w:hAnsi="Arial" w:cs="Arial"/>
          <w:sz w:val="20"/>
          <w:szCs w:val="20"/>
        </w:rPr>
      </w:pPr>
      <w:r w:rsidRPr="004542B7">
        <w:rPr>
          <w:rFonts w:ascii="Arial" w:eastAsia="Calibri" w:hAnsi="Arial" w:cs="Arial"/>
          <w:sz w:val="20"/>
          <w:szCs w:val="20"/>
        </w:rPr>
        <w:lastRenderedPageBreak/>
        <w:t>31</w:t>
      </w:r>
      <w:r w:rsidRPr="004542B7">
        <w:rPr>
          <w:rFonts w:ascii="Arial" w:eastAsia="Calibri" w:hAnsi="Arial" w:cs="Arial"/>
          <w:sz w:val="20"/>
          <w:szCs w:val="20"/>
        </w:rPr>
        <w:tab/>
        <w:t>Other overarching considerations relevant to the assessment process may include:</w:t>
      </w:r>
    </w:p>
    <w:p w:rsidR="004542B7" w:rsidRPr="004542B7" w:rsidRDefault="004542B7" w:rsidP="00637FD5">
      <w:pPr>
        <w:widowControl w:val="0"/>
        <w:numPr>
          <w:ilvl w:val="0"/>
          <w:numId w:val="17"/>
        </w:numPr>
        <w:spacing w:after="120"/>
        <w:ind w:left="1134" w:hanging="425"/>
        <w:jc w:val="both"/>
        <w:rPr>
          <w:rFonts w:ascii="Arial" w:eastAsia="Calibri" w:hAnsi="Arial" w:cs="Arial"/>
          <w:sz w:val="20"/>
          <w:szCs w:val="20"/>
        </w:rPr>
      </w:pPr>
      <w:r w:rsidRPr="004542B7">
        <w:rPr>
          <w:rFonts w:ascii="Arial" w:eastAsia="Calibri" w:hAnsi="Arial" w:cs="Arial"/>
          <w:sz w:val="20"/>
          <w:szCs w:val="20"/>
        </w:rPr>
        <w:t>freedom from conflicts of interest;</w:t>
      </w:r>
    </w:p>
    <w:p w:rsidR="004542B7" w:rsidRPr="004542B7" w:rsidRDefault="004542B7" w:rsidP="00637FD5">
      <w:pPr>
        <w:widowControl w:val="0"/>
        <w:numPr>
          <w:ilvl w:val="0"/>
          <w:numId w:val="17"/>
        </w:numPr>
        <w:spacing w:after="120"/>
        <w:ind w:left="1134" w:hanging="425"/>
        <w:jc w:val="both"/>
        <w:rPr>
          <w:rFonts w:ascii="Arial" w:eastAsia="Calibri" w:hAnsi="Arial" w:cs="Arial"/>
          <w:sz w:val="20"/>
          <w:szCs w:val="20"/>
        </w:rPr>
      </w:pPr>
      <w:r w:rsidRPr="004542B7">
        <w:rPr>
          <w:rFonts w:ascii="Arial" w:eastAsia="Calibri" w:hAnsi="Arial" w:cs="Arial"/>
          <w:sz w:val="20"/>
          <w:szCs w:val="20"/>
        </w:rPr>
        <w:t>transparency of decisions and actions;</w:t>
      </w:r>
    </w:p>
    <w:p w:rsidR="004542B7" w:rsidRPr="004542B7" w:rsidRDefault="004542B7" w:rsidP="00637FD5">
      <w:pPr>
        <w:widowControl w:val="0"/>
        <w:numPr>
          <w:ilvl w:val="0"/>
          <w:numId w:val="17"/>
        </w:numPr>
        <w:spacing w:after="120"/>
        <w:ind w:left="1134" w:hanging="425"/>
        <w:jc w:val="both"/>
        <w:rPr>
          <w:rFonts w:ascii="Arial" w:eastAsia="Calibri" w:hAnsi="Arial" w:cs="Arial"/>
          <w:sz w:val="20"/>
          <w:szCs w:val="20"/>
        </w:rPr>
      </w:pPr>
      <w:r w:rsidRPr="004542B7">
        <w:rPr>
          <w:rFonts w:ascii="Arial" w:eastAsia="Calibri" w:hAnsi="Arial" w:cs="Arial"/>
          <w:sz w:val="20"/>
          <w:szCs w:val="20"/>
        </w:rPr>
        <w:t>how the exporting country NFCS maintains the three characteristics of: situational awareness proactivity and continuous improvement</w:t>
      </w:r>
      <w:r w:rsidRPr="004542B7">
        <w:rPr>
          <w:rFonts w:ascii="Arial" w:eastAsia="Calibri" w:hAnsi="Arial" w:cs="Arial"/>
          <w:sz w:val="20"/>
          <w:szCs w:val="20"/>
          <w:vertAlign w:val="superscript"/>
        </w:rPr>
        <w:footnoteReference w:id="18"/>
      </w:r>
      <w:r w:rsidRPr="004542B7">
        <w:rPr>
          <w:rFonts w:ascii="Arial" w:eastAsia="Calibri" w:hAnsi="Arial" w:cs="Arial"/>
          <w:sz w:val="20"/>
          <w:szCs w:val="20"/>
        </w:rPr>
        <w:t>; and</w:t>
      </w:r>
    </w:p>
    <w:p w:rsidR="004542B7" w:rsidRPr="004542B7" w:rsidRDefault="004542B7" w:rsidP="00637FD5">
      <w:pPr>
        <w:widowControl w:val="0"/>
        <w:numPr>
          <w:ilvl w:val="0"/>
          <w:numId w:val="17"/>
        </w:numPr>
        <w:spacing w:after="120"/>
        <w:ind w:left="1134" w:hanging="425"/>
        <w:jc w:val="both"/>
        <w:rPr>
          <w:rFonts w:ascii="Arial" w:eastAsia="Calibri" w:hAnsi="Arial" w:cs="Arial"/>
          <w:sz w:val="20"/>
          <w:szCs w:val="20"/>
        </w:rPr>
      </w:pPr>
      <w:r w:rsidRPr="004542B7">
        <w:rPr>
          <w:rFonts w:ascii="Arial" w:eastAsia="Calibri" w:hAnsi="Arial" w:cs="Arial"/>
          <w:sz w:val="20"/>
          <w:szCs w:val="20"/>
        </w:rPr>
        <w:t>the availability of resources and infrastructure to continue to implement the NFCS or the relevant part.</w:t>
      </w:r>
    </w:p>
    <w:p w:rsidR="004542B7" w:rsidRPr="004542B7" w:rsidRDefault="004542B7" w:rsidP="00637FD5">
      <w:pPr>
        <w:widowControl w:val="0"/>
        <w:spacing w:after="120"/>
        <w:jc w:val="both"/>
        <w:rPr>
          <w:rFonts w:ascii="Arial" w:eastAsia="Calibri" w:hAnsi="Arial" w:cs="Arial"/>
          <w:sz w:val="20"/>
          <w:szCs w:val="20"/>
          <w:lang w:val="en-NZ"/>
        </w:rPr>
      </w:pPr>
      <w:r w:rsidRPr="004542B7">
        <w:rPr>
          <w:rFonts w:ascii="Arial" w:eastAsia="Calibri" w:hAnsi="Arial" w:cs="Arial"/>
          <w:sz w:val="20"/>
          <w:szCs w:val="20"/>
        </w:rPr>
        <w:t>32</w:t>
      </w:r>
      <w:r w:rsidRPr="004542B7">
        <w:rPr>
          <w:rFonts w:ascii="Arial" w:eastAsia="Calibri" w:hAnsi="Arial" w:cs="Arial"/>
          <w:sz w:val="20"/>
          <w:szCs w:val="20"/>
        </w:rPr>
        <w:tab/>
        <w:t>Meetings between the importing country assessors and the exporting country’s competent authority may assist t</w:t>
      </w:r>
      <w:r w:rsidRPr="004542B7">
        <w:rPr>
          <w:rFonts w:ascii="Arial" w:eastAsia="Calibri" w:hAnsi="Arial" w:cs="Arial"/>
          <w:sz w:val="20"/>
          <w:szCs w:val="20"/>
          <w:lang w:val="en-NZ"/>
        </w:rPr>
        <w:t>he assessment process and their potential use should be included in the planning for the equivalence of systems assessment, as appropriate.  Countries are encouraged to communicate and conduct meetings electronically, where practicable.  Where relevant, the provision of technical assistance may also be used to support the assessment process.</w:t>
      </w:r>
      <w:r w:rsidRPr="004542B7">
        <w:rPr>
          <w:rFonts w:ascii="Arial" w:eastAsia="Calibri" w:hAnsi="Arial" w:cs="Arial"/>
          <w:sz w:val="20"/>
          <w:szCs w:val="20"/>
          <w:vertAlign w:val="superscript"/>
          <w:lang w:val="en-NZ"/>
        </w:rPr>
        <w:footnoteReference w:id="19"/>
      </w:r>
    </w:p>
    <w:p w:rsidR="004542B7" w:rsidRPr="004542B7" w:rsidRDefault="004542B7" w:rsidP="00637FD5">
      <w:pPr>
        <w:widowControl w:val="0"/>
        <w:spacing w:after="120"/>
        <w:jc w:val="both"/>
        <w:rPr>
          <w:rFonts w:ascii="Arial" w:eastAsia="Calibri" w:hAnsi="Arial" w:cs="Arial"/>
          <w:b/>
          <w:sz w:val="20"/>
          <w:szCs w:val="20"/>
          <w:lang w:val="en-NZ"/>
        </w:rPr>
      </w:pPr>
      <w:r w:rsidRPr="004542B7">
        <w:rPr>
          <w:rFonts w:ascii="Arial" w:eastAsia="Calibri" w:hAnsi="Arial" w:cs="Arial"/>
          <w:b/>
          <w:sz w:val="20"/>
          <w:szCs w:val="20"/>
          <w:lang w:val="en-NZ"/>
        </w:rPr>
        <w:t>5.6</w:t>
      </w:r>
      <w:r w:rsidRPr="004542B7">
        <w:rPr>
          <w:rFonts w:ascii="Arial" w:eastAsia="Calibri" w:hAnsi="Arial" w:cs="Arial"/>
          <w:b/>
          <w:sz w:val="20"/>
          <w:szCs w:val="20"/>
          <w:lang w:val="en-NZ"/>
        </w:rPr>
        <w:tab/>
        <w:t>STEP 6: DECISION PROCESS</w:t>
      </w:r>
    </w:p>
    <w:p w:rsidR="004542B7" w:rsidRPr="004542B7" w:rsidRDefault="004542B7" w:rsidP="00637FD5">
      <w:pPr>
        <w:widowControl w:val="0"/>
        <w:spacing w:after="120"/>
        <w:jc w:val="both"/>
        <w:rPr>
          <w:rFonts w:ascii="Arial" w:eastAsia="Calibri" w:hAnsi="Arial" w:cs="Arial"/>
          <w:sz w:val="20"/>
          <w:szCs w:val="20"/>
          <w:lang w:val="en-NZ"/>
        </w:rPr>
      </w:pPr>
      <w:r w:rsidRPr="004542B7">
        <w:rPr>
          <w:rFonts w:ascii="Arial" w:eastAsia="Calibri" w:hAnsi="Arial" w:cs="Arial"/>
          <w:sz w:val="20"/>
          <w:szCs w:val="20"/>
          <w:lang w:val="en-NZ"/>
        </w:rPr>
        <w:t>33</w:t>
      </w:r>
      <w:r w:rsidRPr="004542B7">
        <w:rPr>
          <w:rFonts w:ascii="Arial" w:eastAsia="Calibri" w:hAnsi="Arial" w:cs="Arial"/>
          <w:sz w:val="20"/>
          <w:szCs w:val="20"/>
          <w:lang w:val="en-NZ"/>
        </w:rPr>
        <w:tab/>
      </w:r>
      <w:bookmarkStart w:id="19" w:name="_Hlk122104345"/>
      <w:r w:rsidRPr="004542B7">
        <w:rPr>
          <w:rFonts w:ascii="Arial" w:eastAsia="Calibri" w:hAnsi="Arial" w:cs="Arial"/>
          <w:sz w:val="20"/>
          <w:szCs w:val="20"/>
          <w:lang w:val="en-NZ"/>
        </w:rPr>
        <w:t xml:space="preserve">The decision process should: </w:t>
      </w:r>
    </w:p>
    <w:p w:rsidR="004542B7" w:rsidRPr="004542B7" w:rsidRDefault="004542B7" w:rsidP="00637FD5">
      <w:pPr>
        <w:widowControl w:val="0"/>
        <w:numPr>
          <w:ilvl w:val="0"/>
          <w:numId w:val="18"/>
        </w:numPr>
        <w:spacing w:after="120"/>
        <w:jc w:val="both"/>
        <w:rPr>
          <w:rFonts w:ascii="Arial" w:eastAsia="Calibri" w:hAnsi="Arial" w:cs="Arial"/>
          <w:sz w:val="20"/>
          <w:szCs w:val="20"/>
          <w:lang w:val="en-NZ"/>
        </w:rPr>
      </w:pPr>
      <w:r w:rsidRPr="004542B7">
        <w:rPr>
          <w:rFonts w:ascii="Arial" w:eastAsia="Calibri" w:hAnsi="Arial" w:cs="Arial"/>
          <w:sz w:val="20"/>
          <w:szCs w:val="20"/>
          <w:lang w:val="en-NZ"/>
        </w:rPr>
        <w:t>be transparent and conducted in a timely manner; and</w:t>
      </w:r>
    </w:p>
    <w:p w:rsidR="004542B7" w:rsidRPr="004542B7" w:rsidRDefault="004542B7" w:rsidP="00637FD5">
      <w:pPr>
        <w:widowControl w:val="0"/>
        <w:numPr>
          <w:ilvl w:val="0"/>
          <w:numId w:val="18"/>
        </w:numPr>
        <w:spacing w:after="120"/>
        <w:jc w:val="both"/>
        <w:rPr>
          <w:rFonts w:ascii="Arial" w:eastAsia="Calibri" w:hAnsi="Arial" w:cs="Arial"/>
          <w:sz w:val="20"/>
          <w:szCs w:val="20"/>
          <w:lang w:val="en-NZ"/>
        </w:rPr>
      </w:pPr>
      <w:r w:rsidRPr="004542B7">
        <w:rPr>
          <w:rFonts w:ascii="Arial" w:eastAsia="Calibri" w:hAnsi="Arial" w:cs="Arial"/>
          <w:sz w:val="20"/>
          <w:szCs w:val="20"/>
          <w:lang w:val="en-NZ"/>
        </w:rPr>
        <w:t xml:space="preserve">focus on whether the exporting country’s NFCS or the relevant part meets the decision criteria; and </w:t>
      </w:r>
    </w:p>
    <w:p w:rsidR="004542B7" w:rsidRPr="004542B7" w:rsidRDefault="004542B7" w:rsidP="00637FD5">
      <w:pPr>
        <w:widowControl w:val="0"/>
        <w:numPr>
          <w:ilvl w:val="0"/>
          <w:numId w:val="18"/>
        </w:numPr>
        <w:spacing w:after="120"/>
        <w:jc w:val="both"/>
        <w:rPr>
          <w:rFonts w:ascii="Arial" w:eastAsia="Calibri" w:hAnsi="Arial" w:cs="Arial"/>
          <w:sz w:val="20"/>
          <w:szCs w:val="20"/>
          <w:lang w:val="en-NZ"/>
        </w:rPr>
      </w:pPr>
      <w:r w:rsidRPr="004542B7">
        <w:rPr>
          <w:rFonts w:ascii="Arial" w:eastAsia="Calibri" w:hAnsi="Arial" w:cs="Arial"/>
          <w:sz w:val="20"/>
          <w:szCs w:val="20"/>
          <w:lang w:val="en-NZ"/>
        </w:rPr>
        <w:t>not introduce an objective, outcome, standard or process in excess of what is being applied within the importing country without justification.</w:t>
      </w:r>
    </w:p>
    <w:bookmarkEnd w:id="19"/>
    <w:p w:rsidR="004542B7" w:rsidRPr="004542B7" w:rsidRDefault="004542B7" w:rsidP="00637FD5">
      <w:pPr>
        <w:widowControl w:val="0"/>
        <w:spacing w:after="120"/>
        <w:jc w:val="both"/>
        <w:rPr>
          <w:rFonts w:ascii="Arial" w:eastAsia="Calibri" w:hAnsi="Arial" w:cs="Arial"/>
          <w:sz w:val="20"/>
          <w:szCs w:val="20"/>
        </w:rPr>
      </w:pPr>
      <w:r w:rsidRPr="004542B7">
        <w:rPr>
          <w:rFonts w:ascii="Arial" w:eastAsia="Calibri" w:hAnsi="Arial" w:cs="Arial"/>
          <w:sz w:val="20"/>
          <w:szCs w:val="20"/>
          <w:lang w:val="en-NZ"/>
        </w:rPr>
        <w:t>34</w:t>
      </w:r>
      <w:r w:rsidRPr="004542B7">
        <w:rPr>
          <w:rFonts w:ascii="Arial" w:eastAsia="Calibri" w:hAnsi="Arial" w:cs="Arial"/>
          <w:sz w:val="20"/>
          <w:szCs w:val="20"/>
          <w:lang w:val="en-NZ"/>
        </w:rPr>
        <w:tab/>
      </w:r>
      <w:bookmarkStart w:id="20" w:name="_Hlk122104415"/>
      <w:r w:rsidRPr="004542B7">
        <w:rPr>
          <w:rFonts w:ascii="Arial" w:eastAsia="Calibri" w:hAnsi="Arial" w:cs="Arial"/>
          <w:sz w:val="20"/>
          <w:szCs w:val="20"/>
          <w:lang w:val="en-NZ"/>
        </w:rPr>
        <w:t xml:space="preserve">The importing country should document the draft assessment conclusion and the rationale and </w:t>
      </w:r>
      <w:r w:rsidRPr="004542B7">
        <w:rPr>
          <w:rFonts w:ascii="Arial" w:eastAsia="Calibri" w:hAnsi="Arial" w:cs="Arial"/>
          <w:sz w:val="20"/>
          <w:szCs w:val="20"/>
        </w:rPr>
        <w:t xml:space="preserve">the exporting country should be given the opportunity to comment on the draft conclusions.  In the case of an initial finding that the exporting country’s NFCS or the relevant part is assessed as not equivalent, the exporting country should have the opportunity to provide additional information for consideration by the importing country prior to the finalization of the decision.  </w:t>
      </w:r>
    </w:p>
    <w:p w:rsidR="004542B7" w:rsidRPr="004542B7" w:rsidRDefault="004542B7" w:rsidP="00637FD5">
      <w:pPr>
        <w:widowControl w:val="0"/>
        <w:spacing w:after="120"/>
        <w:jc w:val="both"/>
        <w:rPr>
          <w:rFonts w:ascii="Arial" w:eastAsia="Calibri" w:hAnsi="Arial" w:cs="Arial"/>
          <w:sz w:val="20"/>
          <w:szCs w:val="20"/>
          <w:lang w:val="en-NZ"/>
        </w:rPr>
      </w:pPr>
      <w:r w:rsidRPr="004542B7">
        <w:rPr>
          <w:rFonts w:ascii="Arial" w:eastAsia="Calibri" w:hAnsi="Arial" w:cs="Arial"/>
          <w:sz w:val="20"/>
          <w:szCs w:val="20"/>
        </w:rPr>
        <w:t>35</w:t>
      </w:r>
      <w:r w:rsidRPr="004542B7">
        <w:rPr>
          <w:rFonts w:ascii="Arial" w:eastAsia="Calibri" w:hAnsi="Arial" w:cs="Arial"/>
          <w:sz w:val="20"/>
          <w:szCs w:val="20"/>
        </w:rPr>
        <w:tab/>
        <w:t>In the case where the exporting country’s NFCS or the relevant part is assessed as not equivalent the two countries may, if they wish, agree to a plan and timeframe for the exporting country to provide any additional information or controls for the identified parts of the NFCS that were determined not to be equivalent.  Subsequent additional information should be reviewed by the importing country without requiring all aspects of the assessment process to be repeated.  The importing country should document the final assessment conclusions and the associated rationale.</w:t>
      </w:r>
    </w:p>
    <w:bookmarkEnd w:id="20"/>
    <w:p w:rsidR="004542B7" w:rsidRPr="004542B7" w:rsidRDefault="004542B7" w:rsidP="00637FD5">
      <w:pPr>
        <w:widowControl w:val="0"/>
        <w:spacing w:after="120"/>
        <w:jc w:val="both"/>
        <w:rPr>
          <w:rFonts w:ascii="Arial" w:eastAsia="Calibri" w:hAnsi="Arial" w:cs="Arial"/>
          <w:b/>
          <w:sz w:val="20"/>
          <w:szCs w:val="20"/>
        </w:rPr>
      </w:pPr>
      <w:r w:rsidRPr="004542B7">
        <w:rPr>
          <w:rFonts w:ascii="Arial" w:eastAsia="Calibri" w:hAnsi="Arial" w:cs="Arial"/>
          <w:b/>
          <w:sz w:val="20"/>
          <w:szCs w:val="20"/>
        </w:rPr>
        <w:t>5.7.</w:t>
      </w:r>
      <w:r w:rsidRPr="004542B7">
        <w:rPr>
          <w:rFonts w:ascii="Arial" w:eastAsia="Calibri" w:hAnsi="Arial" w:cs="Arial"/>
          <w:b/>
          <w:sz w:val="20"/>
          <w:szCs w:val="20"/>
        </w:rPr>
        <w:tab/>
        <w:t xml:space="preserve">STEP 7: FORMALIZATION AND MAINTENANCE OF THE RECOGNITION </w:t>
      </w:r>
    </w:p>
    <w:p w:rsidR="004542B7" w:rsidRPr="004542B7" w:rsidRDefault="004542B7" w:rsidP="00637FD5">
      <w:pPr>
        <w:widowControl w:val="0"/>
        <w:spacing w:after="120"/>
        <w:jc w:val="both"/>
        <w:rPr>
          <w:rFonts w:ascii="Arial" w:eastAsia="Calibri" w:hAnsi="Arial" w:cs="Arial"/>
          <w:sz w:val="20"/>
          <w:szCs w:val="20"/>
        </w:rPr>
      </w:pPr>
      <w:r w:rsidRPr="004542B7">
        <w:rPr>
          <w:rFonts w:ascii="Arial" w:eastAsia="Calibri" w:hAnsi="Arial" w:cs="Arial"/>
          <w:sz w:val="20"/>
          <w:szCs w:val="20"/>
        </w:rPr>
        <w:t>36</w:t>
      </w:r>
      <w:r w:rsidRPr="004542B7">
        <w:rPr>
          <w:rFonts w:ascii="Arial" w:eastAsia="Calibri" w:hAnsi="Arial" w:cs="Arial"/>
          <w:sz w:val="20"/>
          <w:szCs w:val="20"/>
        </w:rPr>
        <w:tab/>
        <w:t>The importing and exporting countries should document any recognition reached including how the recognition of equivalence will be implemented for the trade in food between the countries (e.g. recognition of lists of establishments; or modification to point of entry, or additional in-country process prescriptive requirements).  Such documentation may be done for example, through an exchange of letters or through the negotiation of a more comprehensive equivalence agreement or arrangement</w:t>
      </w:r>
      <w:r w:rsidRPr="004542B7">
        <w:rPr>
          <w:rFonts w:ascii="Arial" w:eastAsia="Calibri" w:hAnsi="Arial" w:cs="Arial"/>
          <w:sz w:val="20"/>
          <w:szCs w:val="20"/>
          <w:vertAlign w:val="superscript"/>
        </w:rPr>
        <w:footnoteReference w:id="20"/>
      </w:r>
      <w:r w:rsidRPr="004542B7">
        <w:rPr>
          <w:rFonts w:ascii="Arial" w:eastAsia="Calibri" w:hAnsi="Arial" w:cs="Arial"/>
          <w:sz w:val="20"/>
          <w:szCs w:val="20"/>
        </w:rPr>
        <w:t xml:space="preserve">. </w:t>
      </w:r>
    </w:p>
    <w:p w:rsidR="004542B7" w:rsidRPr="004542B7" w:rsidRDefault="004542B7" w:rsidP="00637FD5">
      <w:pPr>
        <w:widowControl w:val="0"/>
        <w:spacing w:after="120"/>
        <w:jc w:val="both"/>
        <w:rPr>
          <w:rFonts w:ascii="Arial" w:eastAsia="Calibri" w:hAnsi="Arial" w:cs="Arial"/>
          <w:sz w:val="20"/>
          <w:szCs w:val="20"/>
        </w:rPr>
      </w:pPr>
      <w:r w:rsidRPr="004542B7">
        <w:rPr>
          <w:rFonts w:ascii="Arial" w:eastAsia="Calibri" w:hAnsi="Arial" w:cs="Arial"/>
          <w:sz w:val="20"/>
          <w:szCs w:val="20"/>
        </w:rPr>
        <w:t>37</w:t>
      </w:r>
      <w:r w:rsidRPr="004542B7">
        <w:rPr>
          <w:rFonts w:ascii="Arial" w:eastAsia="Calibri" w:hAnsi="Arial" w:cs="Arial"/>
          <w:sz w:val="20"/>
          <w:szCs w:val="20"/>
        </w:rPr>
        <w:tab/>
        <w:t>The documentation of the recognition of the equivalence of systems should include provisions on maintenance and review of the recognition.  Maintenance of recognition arrangements should allow regulatory frameworks, programs and oversight to evolve over time.  The documentation should include what level of change to the exporting country’s NFCS or other changes in circumstance requires notification to the importing country and when a review of the recognition of equivalence may be required.</w:t>
      </w:r>
    </w:p>
    <w:p w:rsidR="004542B7" w:rsidRPr="004542B7" w:rsidRDefault="004542B7" w:rsidP="00637FD5">
      <w:pPr>
        <w:widowControl w:val="0"/>
        <w:spacing w:after="120"/>
        <w:jc w:val="both"/>
        <w:rPr>
          <w:rFonts w:ascii="Arial" w:eastAsia="Calibri" w:hAnsi="Arial" w:cs="Arial"/>
          <w:sz w:val="20"/>
          <w:szCs w:val="20"/>
        </w:rPr>
      </w:pPr>
      <w:r w:rsidRPr="004542B7">
        <w:rPr>
          <w:rFonts w:ascii="Arial" w:eastAsia="Calibri" w:hAnsi="Arial" w:cs="Arial"/>
          <w:sz w:val="20"/>
          <w:szCs w:val="20"/>
        </w:rPr>
        <w:t>38</w:t>
      </w:r>
      <w:r w:rsidRPr="004542B7">
        <w:rPr>
          <w:rFonts w:ascii="Arial" w:eastAsia="Calibri" w:hAnsi="Arial" w:cs="Arial"/>
          <w:sz w:val="20"/>
          <w:szCs w:val="20"/>
        </w:rPr>
        <w:tab/>
        <w:t xml:space="preserve">The countries should document their expectations with respect to ongoing communication and cooperation.  </w:t>
      </w:r>
    </w:p>
    <w:p w:rsidR="004542B7" w:rsidRPr="004542B7" w:rsidRDefault="004542B7" w:rsidP="00704246">
      <w:pPr>
        <w:keepNext/>
        <w:keepLines/>
        <w:widowControl w:val="0"/>
        <w:spacing w:after="120"/>
        <w:jc w:val="both"/>
        <w:rPr>
          <w:rFonts w:ascii="Arial" w:eastAsia="Calibri" w:hAnsi="Arial" w:cs="Arial"/>
          <w:sz w:val="20"/>
          <w:szCs w:val="20"/>
        </w:rPr>
      </w:pPr>
      <w:r w:rsidRPr="004542B7">
        <w:rPr>
          <w:rFonts w:ascii="Arial" w:eastAsia="Calibri" w:hAnsi="Arial" w:cs="Arial"/>
          <w:sz w:val="20"/>
          <w:szCs w:val="20"/>
        </w:rPr>
        <w:lastRenderedPageBreak/>
        <w:t>39</w:t>
      </w:r>
      <w:r w:rsidRPr="004542B7">
        <w:rPr>
          <w:rFonts w:ascii="Arial" w:eastAsia="Calibri" w:hAnsi="Arial" w:cs="Arial"/>
          <w:sz w:val="20"/>
          <w:szCs w:val="20"/>
        </w:rPr>
        <w:tab/>
        <w:t>Maintenance and review of recognitions of the equivalence of NFCS may include activities such as:</w:t>
      </w:r>
    </w:p>
    <w:p w:rsidR="004542B7" w:rsidRPr="004542B7" w:rsidRDefault="004542B7" w:rsidP="00637FD5">
      <w:pPr>
        <w:widowControl w:val="0"/>
        <w:numPr>
          <w:ilvl w:val="0"/>
          <w:numId w:val="20"/>
        </w:numPr>
        <w:spacing w:after="120"/>
        <w:jc w:val="both"/>
        <w:rPr>
          <w:rFonts w:ascii="Arial" w:eastAsia="Calibri" w:hAnsi="Arial" w:cs="Arial"/>
          <w:sz w:val="20"/>
          <w:szCs w:val="20"/>
        </w:rPr>
      </w:pPr>
      <w:r w:rsidRPr="004542B7">
        <w:rPr>
          <w:rFonts w:ascii="Arial" w:eastAsia="Calibri" w:hAnsi="Arial" w:cs="Arial"/>
          <w:sz w:val="20"/>
          <w:szCs w:val="20"/>
        </w:rPr>
        <w:t>regular provision of summary information on the performance of the NFCS or the relevant part;</w:t>
      </w:r>
    </w:p>
    <w:p w:rsidR="004542B7" w:rsidRPr="004542B7" w:rsidRDefault="004542B7" w:rsidP="00637FD5">
      <w:pPr>
        <w:widowControl w:val="0"/>
        <w:numPr>
          <w:ilvl w:val="0"/>
          <w:numId w:val="20"/>
        </w:numPr>
        <w:spacing w:after="120"/>
        <w:jc w:val="both"/>
        <w:rPr>
          <w:rFonts w:ascii="Arial" w:eastAsia="Calibri" w:hAnsi="Arial" w:cs="Arial"/>
          <w:sz w:val="20"/>
          <w:szCs w:val="20"/>
        </w:rPr>
      </w:pPr>
      <w:r w:rsidRPr="004542B7">
        <w:rPr>
          <w:rFonts w:ascii="Arial" w:eastAsia="Calibri" w:hAnsi="Arial" w:cs="Arial"/>
          <w:sz w:val="20"/>
          <w:szCs w:val="20"/>
        </w:rPr>
        <w:t>advice of and potential review of any proposed significant changes to the laws, regulations or performance measures underpinning the components of either country’s NFCS covered by the recognition of equivalence arrangement;</w:t>
      </w:r>
    </w:p>
    <w:p w:rsidR="004542B7" w:rsidRPr="004542B7" w:rsidRDefault="004542B7" w:rsidP="00637FD5">
      <w:pPr>
        <w:widowControl w:val="0"/>
        <w:numPr>
          <w:ilvl w:val="0"/>
          <w:numId w:val="20"/>
        </w:numPr>
        <w:spacing w:after="120"/>
        <w:jc w:val="both"/>
        <w:rPr>
          <w:rFonts w:ascii="Arial" w:eastAsia="Calibri" w:hAnsi="Arial" w:cs="Arial"/>
          <w:sz w:val="20"/>
          <w:szCs w:val="20"/>
        </w:rPr>
      </w:pPr>
      <w:r w:rsidRPr="004542B7">
        <w:rPr>
          <w:rFonts w:ascii="Arial" w:eastAsia="Calibri" w:hAnsi="Arial" w:cs="Arial"/>
          <w:sz w:val="20"/>
          <w:szCs w:val="20"/>
        </w:rPr>
        <w:t>regular technical discussions between relevant experts; and</w:t>
      </w:r>
    </w:p>
    <w:p w:rsidR="004542B7" w:rsidRDefault="004542B7" w:rsidP="00637FD5">
      <w:pPr>
        <w:widowControl w:val="0"/>
        <w:numPr>
          <w:ilvl w:val="0"/>
          <w:numId w:val="20"/>
        </w:numPr>
        <w:spacing w:after="120"/>
        <w:jc w:val="both"/>
        <w:rPr>
          <w:rFonts w:ascii="Arial" w:eastAsia="Calibri" w:hAnsi="Arial" w:cs="Arial"/>
          <w:sz w:val="20"/>
          <w:szCs w:val="20"/>
        </w:rPr>
      </w:pPr>
      <w:r w:rsidRPr="004542B7">
        <w:rPr>
          <w:rFonts w:ascii="Arial" w:eastAsia="Calibri" w:hAnsi="Arial" w:cs="Arial"/>
          <w:sz w:val="20"/>
          <w:szCs w:val="20"/>
        </w:rPr>
        <w:t>intermittent country visits or technical exchanges so as to maintain the currency of experience, knowledge and confidence.</w:t>
      </w:r>
      <w:r w:rsidRPr="004542B7">
        <w:rPr>
          <w:rFonts w:ascii="Arial" w:eastAsia="Calibri" w:hAnsi="Arial" w:cs="Arial"/>
          <w:sz w:val="20"/>
          <w:szCs w:val="20"/>
          <w:vertAlign w:val="superscript"/>
        </w:rPr>
        <w:footnoteReference w:id="21"/>
      </w:r>
      <w:r w:rsidRPr="004542B7">
        <w:rPr>
          <w:rFonts w:ascii="Arial" w:eastAsia="Calibri" w:hAnsi="Arial" w:cs="Arial"/>
          <w:sz w:val="20"/>
          <w:szCs w:val="20"/>
        </w:rPr>
        <w:t xml:space="preserve"> </w:t>
      </w:r>
    </w:p>
    <w:p w:rsidR="00704246" w:rsidRPr="004542B7" w:rsidRDefault="00704246" w:rsidP="00704246">
      <w:pPr>
        <w:widowControl w:val="0"/>
        <w:spacing w:after="120"/>
        <w:ind w:left="360"/>
        <w:jc w:val="both"/>
        <w:rPr>
          <w:rFonts w:ascii="Arial" w:eastAsia="Calibri" w:hAnsi="Arial" w:cs="Arial"/>
          <w:sz w:val="20"/>
          <w:szCs w:val="20"/>
        </w:rPr>
      </w:pPr>
    </w:p>
    <w:p w:rsidR="004542B7" w:rsidRPr="00704246" w:rsidRDefault="00704246" w:rsidP="004542B7">
      <w:pPr>
        <w:spacing w:after="120"/>
        <w:rPr>
          <w:rFonts w:ascii="Arial" w:hAnsi="Arial" w:cs="Arial"/>
          <w:bCs/>
          <w:sz w:val="20"/>
          <w:szCs w:val="20"/>
          <w:lang w:val="es-ES"/>
        </w:rPr>
      </w:pPr>
      <w:r w:rsidRPr="00704246">
        <w:rPr>
          <w:rFonts w:ascii="Arial" w:hAnsi="Arial" w:cs="Arial"/>
          <w:bCs/>
          <w:noProof/>
          <w:sz w:val="20"/>
          <w:szCs w:val="20"/>
          <w:lang w:val="en-US"/>
        </w:rPr>
        <w:lastRenderedPageBreak/>
        <w:drawing>
          <wp:inline distT="0" distB="0" distL="0" distR="0" wp14:anchorId="09585C46" wp14:editId="1A3EDF80">
            <wp:extent cx="6145619" cy="9131256"/>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6156858" cy="9147955"/>
                    </a:xfrm>
                    <a:prstGeom prst="rect">
                      <a:avLst/>
                    </a:prstGeom>
                  </pic:spPr>
                </pic:pic>
              </a:graphicData>
            </a:graphic>
          </wp:inline>
        </w:drawing>
      </w:r>
    </w:p>
    <w:sectPr w:rsidR="004542B7" w:rsidRPr="00704246" w:rsidSect="00B32250">
      <w:footnotePr>
        <w:numRestart w:val="eachSect"/>
      </w:footnotePr>
      <w:pgSz w:w="11906" w:h="16838" w:code="9"/>
      <w:pgMar w:top="1134" w:right="1134" w:bottom="1134" w:left="1134" w:header="680" w:footer="680"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8BDF8" w16cex:dateUtc="2023-02-16T01:36:00Z"/>
  <w16cex:commentExtensible w16cex:durableId="2798C6FD" w16cex:dateUtc="2023-02-16T02: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01D4731" w16cid:durableId="27974888"/>
  <w16cid:commentId w16cid:paraId="6C0CD95F" w16cid:durableId="2798BDF8"/>
  <w16cid:commentId w16cid:paraId="105F1D0F" w16cid:durableId="2798C6F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579" w:rsidRDefault="002D3579">
      <w:r>
        <w:separator/>
      </w:r>
    </w:p>
  </w:endnote>
  <w:endnote w:type="continuationSeparator" w:id="0">
    <w:p w:rsidR="002D3579" w:rsidRDefault="002D3579">
      <w:r>
        <w:continuationSeparator/>
      </w:r>
    </w:p>
  </w:endnote>
  <w:endnote w:type="continuationNotice" w:id="1">
    <w:p w:rsidR="002D3579" w:rsidRDefault="002D35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00000000"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579" w:rsidRDefault="002D3579">
      <w:r>
        <w:separator/>
      </w:r>
    </w:p>
  </w:footnote>
  <w:footnote w:type="continuationSeparator" w:id="0">
    <w:p w:rsidR="002D3579" w:rsidRDefault="002D3579">
      <w:r>
        <w:continuationSeparator/>
      </w:r>
    </w:p>
  </w:footnote>
  <w:footnote w:type="continuationNotice" w:id="1">
    <w:p w:rsidR="002D3579" w:rsidRDefault="002D3579"/>
  </w:footnote>
  <w:footnote w:id="2">
    <w:p w:rsidR="004542B7" w:rsidRPr="00787518" w:rsidRDefault="004542B7" w:rsidP="00B32250">
      <w:pPr>
        <w:pStyle w:val="FootnoteText"/>
        <w:spacing w:after="40"/>
        <w:rPr>
          <w:lang w:val="en-NZ"/>
        </w:rPr>
      </w:pPr>
      <w:r>
        <w:rPr>
          <w:rStyle w:val="FootnoteReference"/>
        </w:rPr>
        <w:footnoteRef/>
      </w:r>
      <w:r>
        <w:t xml:space="preserve"> </w:t>
      </w:r>
      <w:r w:rsidRPr="00094F6F">
        <w:rPr>
          <w:rFonts w:ascii="Arial" w:hAnsi="Arial" w:cs="Arial"/>
          <w:sz w:val="18"/>
          <w:szCs w:val="18"/>
          <w:lang w:val="en-AU"/>
        </w:rPr>
        <w:t>Principles and guidelines for National Food Control Systems (</w:t>
      </w:r>
      <w:r>
        <w:rPr>
          <w:rFonts w:ascii="Arial" w:hAnsi="Arial" w:cs="Arial"/>
          <w:sz w:val="18"/>
          <w:szCs w:val="18"/>
          <w:lang w:val="en-AU"/>
        </w:rPr>
        <w:t>CXG</w:t>
      </w:r>
      <w:r w:rsidRPr="00094F6F">
        <w:rPr>
          <w:rFonts w:ascii="Arial" w:hAnsi="Arial" w:cs="Arial"/>
          <w:sz w:val="18"/>
          <w:szCs w:val="18"/>
          <w:lang w:val="en-AU"/>
        </w:rPr>
        <w:t xml:space="preserve"> 82-2013)</w:t>
      </w:r>
      <w:r>
        <w:rPr>
          <w:rFonts w:ascii="Arial" w:hAnsi="Arial" w:cs="Arial"/>
          <w:sz w:val="18"/>
          <w:szCs w:val="18"/>
          <w:lang w:val="en-AU"/>
        </w:rPr>
        <w:t xml:space="preserve"> </w:t>
      </w:r>
    </w:p>
  </w:footnote>
  <w:footnote w:id="3">
    <w:p w:rsidR="004542B7" w:rsidRPr="00094F6F" w:rsidRDefault="004542B7" w:rsidP="00B32250">
      <w:pPr>
        <w:pStyle w:val="FootnoteText"/>
        <w:spacing w:after="40"/>
        <w:jc w:val="both"/>
        <w:rPr>
          <w:rFonts w:ascii="Arial" w:hAnsi="Arial" w:cs="Arial"/>
          <w:sz w:val="18"/>
          <w:szCs w:val="18"/>
          <w:lang w:val="en-NZ"/>
        </w:rPr>
      </w:pPr>
      <w:r w:rsidRPr="00787518">
        <w:rPr>
          <w:rStyle w:val="FootnoteReference"/>
          <w:rFonts w:ascii="Arial" w:hAnsi="Arial" w:cs="Arial"/>
          <w:sz w:val="18"/>
          <w:szCs w:val="18"/>
        </w:rPr>
        <w:footnoteRef/>
      </w:r>
      <w:r w:rsidRPr="00094F6F">
        <w:rPr>
          <w:rFonts w:ascii="Arial" w:hAnsi="Arial" w:cs="Arial"/>
          <w:sz w:val="18"/>
          <w:szCs w:val="18"/>
        </w:rPr>
        <w:t xml:space="preserve"> </w:t>
      </w:r>
      <w:r w:rsidRPr="00094F6F">
        <w:rPr>
          <w:rFonts w:ascii="Arial" w:hAnsi="Arial" w:cs="Arial"/>
          <w:sz w:val="18"/>
          <w:szCs w:val="18"/>
          <w:lang w:val="en-NZ"/>
        </w:rPr>
        <w:t>For example</w:t>
      </w:r>
      <w:r>
        <w:rPr>
          <w:rFonts w:ascii="Arial" w:hAnsi="Arial" w:cs="Arial"/>
          <w:sz w:val="18"/>
          <w:szCs w:val="18"/>
          <w:lang w:val="en-NZ"/>
        </w:rPr>
        <w:t>,</w:t>
      </w:r>
      <w:r w:rsidRPr="00094F6F">
        <w:rPr>
          <w:rFonts w:ascii="Arial" w:hAnsi="Arial" w:cs="Arial"/>
          <w:sz w:val="18"/>
          <w:szCs w:val="18"/>
          <w:lang w:val="en-NZ"/>
        </w:rPr>
        <w:t xml:space="preserve"> an equivalence request could be limited to assurances associated with a specified sector such as seafood, or further refined to a subsector such as aquaculture or a processing type such as canned seafood.  A request for equivalence recognition could cover a horizontal process for providing assurances such as the recognition of regulatory controls for sampling protocols and/or laboratory or specific methodology approvals. </w:t>
      </w:r>
    </w:p>
  </w:footnote>
  <w:footnote w:id="4">
    <w:p w:rsidR="004542B7" w:rsidRPr="00094F6F" w:rsidRDefault="004542B7" w:rsidP="00B32250">
      <w:pPr>
        <w:pStyle w:val="FootnoteText"/>
        <w:spacing w:after="40"/>
        <w:rPr>
          <w:rFonts w:ascii="Arial" w:hAnsi="Arial" w:cs="Arial"/>
          <w:sz w:val="18"/>
          <w:szCs w:val="18"/>
          <w:lang w:val="en-NZ"/>
        </w:rPr>
      </w:pPr>
      <w:r w:rsidRPr="00787518">
        <w:rPr>
          <w:rStyle w:val="FootnoteReference"/>
          <w:rFonts w:ascii="Arial" w:hAnsi="Arial" w:cs="Arial"/>
          <w:sz w:val="18"/>
          <w:szCs w:val="18"/>
        </w:rPr>
        <w:footnoteRef/>
      </w:r>
      <w:r w:rsidRPr="00094F6F">
        <w:rPr>
          <w:rFonts w:ascii="Arial" w:hAnsi="Arial" w:cs="Arial"/>
          <w:sz w:val="18"/>
          <w:szCs w:val="18"/>
        </w:rPr>
        <w:t xml:space="preserve"> The principles and processes described in </w:t>
      </w:r>
      <w:r>
        <w:rPr>
          <w:rFonts w:ascii="Arial" w:hAnsi="Arial" w:cs="Arial"/>
          <w:sz w:val="18"/>
          <w:szCs w:val="18"/>
        </w:rPr>
        <w:t>CXG</w:t>
      </w:r>
      <w:r w:rsidRPr="00094F6F">
        <w:rPr>
          <w:rFonts w:ascii="Arial" w:hAnsi="Arial" w:cs="Arial"/>
          <w:sz w:val="18"/>
          <w:szCs w:val="18"/>
        </w:rPr>
        <w:t xml:space="preserve"> 89-2016 are also useful in informing the exchange of information.</w:t>
      </w:r>
    </w:p>
  </w:footnote>
  <w:footnote w:id="5">
    <w:p w:rsidR="004542B7" w:rsidRPr="0006382D" w:rsidRDefault="004542B7" w:rsidP="00B32250">
      <w:pPr>
        <w:pStyle w:val="FootnoteText"/>
        <w:spacing w:after="40"/>
        <w:rPr>
          <w:rFonts w:ascii="Arial" w:hAnsi="Arial" w:cs="Arial"/>
          <w:bCs/>
          <w:sz w:val="18"/>
          <w:szCs w:val="18"/>
          <w:lang w:val="en-NZ"/>
        </w:rPr>
      </w:pPr>
      <w:r>
        <w:rPr>
          <w:rStyle w:val="FootnoteReference"/>
        </w:rPr>
        <w:footnoteRef/>
      </w:r>
      <w:r>
        <w:t xml:space="preserve"> </w:t>
      </w:r>
      <w:r w:rsidRPr="0006382D">
        <w:rPr>
          <w:rFonts w:ascii="Arial" w:hAnsi="Arial" w:cs="Arial"/>
          <w:bCs/>
          <w:sz w:val="18"/>
          <w:szCs w:val="18"/>
        </w:rPr>
        <w:t xml:space="preserve">Noting that </w:t>
      </w:r>
      <w:r w:rsidRPr="0006382D">
        <w:rPr>
          <w:rFonts w:ascii="Arial" w:hAnsi="Arial" w:cs="Arial"/>
          <w:bCs/>
          <w:sz w:val="18"/>
          <w:szCs w:val="18"/>
          <w:lang w:val="en-NZ"/>
        </w:rPr>
        <w:t xml:space="preserve">countries may </w:t>
      </w:r>
      <w:r>
        <w:rPr>
          <w:rFonts w:ascii="Arial" w:hAnsi="Arial" w:cs="Arial"/>
          <w:bCs/>
          <w:sz w:val="18"/>
          <w:szCs w:val="18"/>
          <w:lang w:val="en-NZ"/>
        </w:rPr>
        <w:t>make</w:t>
      </w:r>
      <w:r w:rsidRPr="0006382D">
        <w:rPr>
          <w:rFonts w:ascii="Arial" w:hAnsi="Arial" w:cs="Arial"/>
          <w:bCs/>
          <w:sz w:val="18"/>
          <w:szCs w:val="18"/>
          <w:lang w:val="en-NZ"/>
        </w:rPr>
        <w:t xml:space="preserve"> a request </w:t>
      </w:r>
      <w:r>
        <w:rPr>
          <w:rFonts w:ascii="Arial" w:hAnsi="Arial" w:cs="Arial"/>
          <w:bCs/>
          <w:sz w:val="18"/>
          <w:szCs w:val="18"/>
          <w:lang w:val="en-NZ"/>
        </w:rPr>
        <w:t xml:space="preserve">for consultations on equivalence </w:t>
      </w:r>
      <w:r w:rsidRPr="0006382D">
        <w:rPr>
          <w:rFonts w:ascii="Arial" w:hAnsi="Arial" w:cs="Arial"/>
          <w:bCs/>
          <w:sz w:val="18"/>
          <w:szCs w:val="18"/>
          <w:lang w:val="en-NZ"/>
        </w:rPr>
        <w:t>at any point</w:t>
      </w:r>
      <w:r>
        <w:rPr>
          <w:rFonts w:ascii="Arial" w:hAnsi="Arial" w:cs="Arial"/>
          <w:bCs/>
          <w:sz w:val="18"/>
          <w:szCs w:val="18"/>
          <w:lang w:val="en-NZ"/>
        </w:rPr>
        <w:t xml:space="preserve"> during the initial discussions</w:t>
      </w:r>
      <w:r w:rsidRPr="0006382D">
        <w:rPr>
          <w:rFonts w:ascii="Arial" w:hAnsi="Arial" w:cs="Arial"/>
          <w:bCs/>
          <w:sz w:val="18"/>
          <w:szCs w:val="18"/>
          <w:lang w:val="en-NZ"/>
        </w:rPr>
        <w:t>.</w:t>
      </w:r>
    </w:p>
  </w:footnote>
  <w:footnote w:id="6">
    <w:p w:rsidR="004542B7" w:rsidRPr="00094F6F" w:rsidRDefault="004542B7" w:rsidP="00B32250">
      <w:pPr>
        <w:pStyle w:val="FootnoteText"/>
        <w:spacing w:after="40"/>
        <w:jc w:val="both"/>
        <w:rPr>
          <w:rFonts w:ascii="Arial" w:hAnsi="Arial" w:cs="Arial"/>
          <w:sz w:val="18"/>
          <w:szCs w:val="18"/>
          <w:lang w:val="en-NZ"/>
        </w:rPr>
      </w:pPr>
      <w:r w:rsidRPr="00094F6F">
        <w:rPr>
          <w:rStyle w:val="FootnoteReference"/>
          <w:rFonts w:ascii="Arial" w:hAnsi="Arial" w:cs="Arial"/>
          <w:sz w:val="18"/>
          <w:szCs w:val="18"/>
        </w:rPr>
        <w:footnoteRef/>
      </w:r>
      <w:r w:rsidRPr="00094F6F">
        <w:rPr>
          <w:rFonts w:ascii="Arial" w:hAnsi="Arial" w:cs="Arial"/>
          <w:sz w:val="18"/>
          <w:szCs w:val="18"/>
        </w:rPr>
        <w:t xml:space="preserve"> Examples of other mechanisms include but are not limited to: </w:t>
      </w:r>
      <w:r>
        <w:rPr>
          <w:rFonts w:ascii="Arial" w:hAnsi="Arial" w:cs="Arial"/>
          <w:sz w:val="18"/>
          <w:szCs w:val="18"/>
        </w:rPr>
        <w:t xml:space="preserve">The exchange of information to support trade; </w:t>
      </w:r>
      <w:r w:rsidRPr="003E0769">
        <w:rPr>
          <w:rFonts w:ascii="Arial" w:hAnsi="Arial" w:cs="Arial"/>
          <w:sz w:val="18"/>
          <w:szCs w:val="18"/>
        </w:rPr>
        <w:t xml:space="preserve">equivalence of a </w:t>
      </w:r>
      <w:r>
        <w:rPr>
          <w:rFonts w:ascii="Arial" w:hAnsi="Arial" w:cs="Arial"/>
          <w:sz w:val="18"/>
          <w:szCs w:val="18"/>
        </w:rPr>
        <w:t xml:space="preserve">specific </w:t>
      </w:r>
      <w:r w:rsidRPr="003E0769">
        <w:rPr>
          <w:rFonts w:ascii="Arial" w:hAnsi="Arial" w:cs="Arial"/>
          <w:sz w:val="18"/>
          <w:szCs w:val="18"/>
        </w:rPr>
        <w:t>sanitary measure or group of measures;</w:t>
      </w:r>
      <w:r>
        <w:rPr>
          <w:rFonts w:ascii="Arial" w:hAnsi="Arial" w:cs="Arial"/>
          <w:sz w:val="18"/>
          <w:szCs w:val="18"/>
        </w:rPr>
        <w:t xml:space="preserve"> </w:t>
      </w:r>
      <w:r w:rsidRPr="00094F6F">
        <w:rPr>
          <w:rFonts w:ascii="Arial" w:hAnsi="Arial" w:cs="Arial"/>
          <w:sz w:val="18"/>
          <w:szCs w:val="18"/>
        </w:rPr>
        <w:t xml:space="preserve">compliance with importing county requirements; harmonisation of requirements; mutual recognition; memoranda of understanding; or assurances based on some other means acceptable to both countries. </w:t>
      </w:r>
    </w:p>
  </w:footnote>
  <w:footnote w:id="7">
    <w:p w:rsidR="004542B7" w:rsidRPr="00094F6F" w:rsidRDefault="004542B7" w:rsidP="00B32250">
      <w:pPr>
        <w:pStyle w:val="FootnoteText"/>
        <w:spacing w:after="40"/>
        <w:jc w:val="both"/>
        <w:rPr>
          <w:rFonts w:ascii="Arial" w:hAnsi="Arial" w:cs="Arial"/>
          <w:sz w:val="18"/>
          <w:szCs w:val="18"/>
          <w:lang w:val="en-NZ"/>
        </w:rPr>
      </w:pPr>
      <w:r w:rsidRPr="00094F6F">
        <w:rPr>
          <w:rStyle w:val="FootnoteReference"/>
          <w:rFonts w:ascii="Arial" w:hAnsi="Arial" w:cs="Arial"/>
          <w:sz w:val="18"/>
          <w:szCs w:val="18"/>
        </w:rPr>
        <w:footnoteRef/>
      </w:r>
      <w:r w:rsidRPr="00094F6F">
        <w:rPr>
          <w:rFonts w:ascii="Arial" w:hAnsi="Arial" w:cs="Arial"/>
          <w:sz w:val="18"/>
          <w:szCs w:val="18"/>
        </w:rPr>
        <w:t xml:space="preserve"> Paragraphs 9 and 11 of </w:t>
      </w:r>
      <w:r>
        <w:rPr>
          <w:rFonts w:ascii="Arial" w:hAnsi="Arial" w:cs="Arial"/>
          <w:sz w:val="18"/>
          <w:szCs w:val="18"/>
        </w:rPr>
        <w:t>CXG</w:t>
      </w:r>
      <w:r w:rsidRPr="00094F6F">
        <w:rPr>
          <w:rFonts w:ascii="Arial" w:hAnsi="Arial" w:cs="Arial"/>
          <w:sz w:val="18"/>
          <w:szCs w:val="18"/>
        </w:rPr>
        <w:t xml:space="preserve"> 34-1999 and paragraph 3 of the Appendix of </w:t>
      </w:r>
      <w:r>
        <w:rPr>
          <w:rFonts w:ascii="Arial" w:hAnsi="Arial" w:cs="Arial"/>
          <w:sz w:val="18"/>
          <w:szCs w:val="18"/>
        </w:rPr>
        <w:t>CXG</w:t>
      </w:r>
      <w:r w:rsidRPr="00094F6F">
        <w:rPr>
          <w:rFonts w:ascii="Arial" w:hAnsi="Arial" w:cs="Arial"/>
          <w:sz w:val="18"/>
          <w:szCs w:val="18"/>
        </w:rPr>
        <w:t xml:space="preserve"> 53-2003 provide additional guidance.</w:t>
      </w:r>
    </w:p>
  </w:footnote>
  <w:footnote w:id="8">
    <w:p w:rsidR="00400450" w:rsidRPr="00094F6F" w:rsidRDefault="00400450" w:rsidP="00400450">
      <w:pPr>
        <w:pStyle w:val="FootnoteText"/>
        <w:spacing w:after="120"/>
        <w:jc w:val="both"/>
        <w:rPr>
          <w:rFonts w:ascii="Arial" w:hAnsi="Arial" w:cs="Arial"/>
          <w:sz w:val="18"/>
          <w:szCs w:val="18"/>
          <w:lang w:val="en-NZ"/>
        </w:rPr>
      </w:pPr>
      <w:r w:rsidRPr="00787518">
        <w:rPr>
          <w:rStyle w:val="FootnoteReference"/>
          <w:rFonts w:ascii="Arial" w:hAnsi="Arial" w:cs="Arial"/>
          <w:sz w:val="18"/>
          <w:szCs w:val="18"/>
        </w:rPr>
        <w:footnoteRef/>
      </w:r>
      <w:r w:rsidRPr="00094F6F">
        <w:rPr>
          <w:rFonts w:ascii="Arial" w:hAnsi="Arial" w:cs="Arial"/>
          <w:sz w:val="18"/>
          <w:szCs w:val="18"/>
        </w:rPr>
        <w:t xml:space="preserve"> Paragraph 10 of the Appendix to </w:t>
      </w:r>
      <w:r>
        <w:rPr>
          <w:rFonts w:ascii="Arial" w:hAnsi="Arial" w:cs="Arial"/>
          <w:sz w:val="18"/>
          <w:szCs w:val="18"/>
        </w:rPr>
        <w:t>CXG</w:t>
      </w:r>
      <w:r w:rsidRPr="00094F6F">
        <w:rPr>
          <w:rFonts w:ascii="Arial" w:hAnsi="Arial" w:cs="Arial"/>
          <w:sz w:val="18"/>
          <w:szCs w:val="18"/>
        </w:rPr>
        <w:t xml:space="preserve"> 53-2003 provides some further possible examples which may or may not be relevant depending on the circumstance.</w:t>
      </w:r>
    </w:p>
  </w:footnote>
  <w:footnote w:id="9">
    <w:p w:rsidR="004542B7" w:rsidRPr="004900E3" w:rsidRDefault="004542B7" w:rsidP="004542B7">
      <w:pPr>
        <w:pStyle w:val="FootnoteText"/>
        <w:spacing w:after="120"/>
        <w:jc w:val="both"/>
        <w:rPr>
          <w:rFonts w:ascii="Arial" w:hAnsi="Arial" w:cs="Arial"/>
          <w:sz w:val="18"/>
          <w:szCs w:val="18"/>
          <w:lang w:val="en-NZ"/>
        </w:rPr>
      </w:pPr>
      <w:r>
        <w:rPr>
          <w:rStyle w:val="FootnoteReference"/>
        </w:rPr>
        <w:footnoteRef/>
      </w:r>
      <w:r>
        <w:t xml:space="preserve"> </w:t>
      </w:r>
      <w:r w:rsidRPr="004900E3">
        <w:rPr>
          <w:rFonts w:ascii="Arial" w:hAnsi="Arial" w:cs="Arial"/>
          <w:sz w:val="18"/>
          <w:szCs w:val="18"/>
          <w:lang w:val="en-NZ"/>
        </w:rPr>
        <w:t>See also paragraph 1</w:t>
      </w:r>
      <w:r>
        <w:rPr>
          <w:rFonts w:ascii="Arial" w:hAnsi="Arial" w:cs="Arial"/>
          <w:sz w:val="18"/>
          <w:szCs w:val="18"/>
          <w:lang w:val="en-NZ"/>
        </w:rPr>
        <w:t>5.</w:t>
      </w:r>
    </w:p>
  </w:footnote>
  <w:footnote w:id="10">
    <w:p w:rsidR="004542B7" w:rsidRPr="00CC1143" w:rsidRDefault="004542B7" w:rsidP="004542B7">
      <w:pPr>
        <w:pStyle w:val="FootnoteText"/>
        <w:spacing w:after="120"/>
        <w:jc w:val="both"/>
        <w:rPr>
          <w:rFonts w:ascii="Arial" w:hAnsi="Arial" w:cs="Arial"/>
          <w:sz w:val="18"/>
          <w:szCs w:val="18"/>
          <w:lang w:val="en-NZ"/>
        </w:rPr>
      </w:pPr>
      <w:r w:rsidRPr="00CC1143">
        <w:rPr>
          <w:rStyle w:val="FootnoteReference"/>
          <w:rFonts w:ascii="Arial" w:hAnsi="Arial" w:cs="Arial"/>
          <w:sz w:val="18"/>
          <w:szCs w:val="18"/>
        </w:rPr>
        <w:footnoteRef/>
      </w:r>
      <w:r w:rsidRPr="00CC1143">
        <w:rPr>
          <w:rFonts w:ascii="Arial" w:hAnsi="Arial" w:cs="Arial"/>
          <w:sz w:val="18"/>
          <w:szCs w:val="18"/>
        </w:rPr>
        <w:t xml:space="preserve"> </w:t>
      </w:r>
      <w:r>
        <w:rPr>
          <w:rFonts w:ascii="Arial" w:hAnsi="Arial" w:cs="Arial"/>
          <w:sz w:val="18"/>
          <w:szCs w:val="18"/>
        </w:rPr>
        <w:t>Paragraph 5 of CXG</w:t>
      </w:r>
      <w:r w:rsidRPr="00065336">
        <w:rPr>
          <w:rFonts w:ascii="Arial" w:hAnsi="Arial" w:cs="Arial"/>
          <w:sz w:val="18"/>
          <w:szCs w:val="18"/>
        </w:rPr>
        <w:t xml:space="preserve"> 34-1999</w:t>
      </w:r>
      <w:r>
        <w:rPr>
          <w:rFonts w:ascii="Arial" w:hAnsi="Arial" w:cs="Arial"/>
          <w:sz w:val="18"/>
          <w:szCs w:val="18"/>
        </w:rPr>
        <w:t>.</w:t>
      </w:r>
    </w:p>
  </w:footnote>
  <w:footnote w:id="11">
    <w:p w:rsidR="004542B7" w:rsidRPr="00582339" w:rsidRDefault="004542B7" w:rsidP="004542B7">
      <w:pPr>
        <w:pStyle w:val="FootnoteText"/>
        <w:spacing w:after="120"/>
        <w:jc w:val="both"/>
        <w:rPr>
          <w:rFonts w:ascii="Arial" w:hAnsi="Arial" w:cs="Arial"/>
          <w:sz w:val="18"/>
          <w:szCs w:val="18"/>
          <w:lang w:val="en-NZ"/>
        </w:rPr>
      </w:pPr>
      <w:r w:rsidRPr="00582339">
        <w:rPr>
          <w:rStyle w:val="FootnoteReference"/>
          <w:rFonts w:ascii="Arial" w:hAnsi="Arial" w:cs="Arial"/>
          <w:sz w:val="18"/>
          <w:szCs w:val="18"/>
        </w:rPr>
        <w:footnoteRef/>
      </w:r>
      <w:r w:rsidRPr="00582339">
        <w:rPr>
          <w:rFonts w:ascii="Arial" w:hAnsi="Arial" w:cs="Arial"/>
          <w:sz w:val="18"/>
          <w:szCs w:val="18"/>
        </w:rPr>
        <w:t xml:space="preserve"> </w:t>
      </w:r>
      <w:r>
        <w:rPr>
          <w:rFonts w:ascii="Arial" w:hAnsi="Arial" w:cs="Arial"/>
          <w:sz w:val="18"/>
          <w:szCs w:val="18"/>
        </w:rPr>
        <w:t>See CXG</w:t>
      </w:r>
      <w:r w:rsidRPr="00582339">
        <w:rPr>
          <w:rFonts w:ascii="Arial" w:hAnsi="Arial" w:cs="Arial"/>
          <w:sz w:val="18"/>
          <w:szCs w:val="18"/>
        </w:rPr>
        <w:t xml:space="preserve"> 53-2003 </w:t>
      </w:r>
      <w:r>
        <w:rPr>
          <w:rFonts w:ascii="Arial" w:hAnsi="Arial" w:cs="Arial"/>
          <w:sz w:val="18"/>
          <w:szCs w:val="18"/>
        </w:rPr>
        <w:t>p</w:t>
      </w:r>
      <w:r w:rsidRPr="00582339">
        <w:rPr>
          <w:rFonts w:ascii="Arial" w:hAnsi="Arial" w:cs="Arial"/>
          <w:sz w:val="18"/>
          <w:szCs w:val="18"/>
        </w:rPr>
        <w:t xml:space="preserve">aragraphs 11 and 12 </w:t>
      </w:r>
      <w:r w:rsidRPr="009E5343">
        <w:rPr>
          <w:rFonts w:ascii="Arial" w:hAnsi="Arial" w:cs="Arial"/>
          <w:sz w:val="18"/>
          <w:szCs w:val="18"/>
        </w:rPr>
        <w:t>and paragraphs 9-13 o</w:t>
      </w:r>
      <w:r w:rsidRPr="00582339">
        <w:rPr>
          <w:rFonts w:ascii="Arial" w:hAnsi="Arial" w:cs="Arial"/>
          <w:sz w:val="18"/>
          <w:szCs w:val="18"/>
        </w:rPr>
        <w:t xml:space="preserve">f </w:t>
      </w:r>
      <w:r>
        <w:rPr>
          <w:rFonts w:ascii="Arial" w:hAnsi="Arial" w:cs="Arial"/>
          <w:sz w:val="18"/>
          <w:szCs w:val="18"/>
        </w:rPr>
        <w:t xml:space="preserve">the </w:t>
      </w:r>
      <w:r w:rsidRPr="009E5343">
        <w:rPr>
          <w:rFonts w:ascii="Arial" w:hAnsi="Arial" w:cs="Arial"/>
          <w:sz w:val="18"/>
          <w:szCs w:val="18"/>
        </w:rPr>
        <w:t>A</w:t>
      </w:r>
      <w:r>
        <w:rPr>
          <w:rFonts w:ascii="Arial" w:hAnsi="Arial" w:cs="Arial"/>
          <w:sz w:val="18"/>
          <w:szCs w:val="18"/>
        </w:rPr>
        <w:t>ppendix</w:t>
      </w:r>
      <w:r w:rsidRPr="00582339">
        <w:rPr>
          <w:rFonts w:ascii="Arial" w:hAnsi="Arial" w:cs="Arial"/>
          <w:sz w:val="18"/>
          <w:szCs w:val="18"/>
        </w:rPr>
        <w:t xml:space="preserve"> </w:t>
      </w:r>
      <w:r>
        <w:rPr>
          <w:rFonts w:ascii="Arial" w:hAnsi="Arial" w:cs="Arial"/>
          <w:sz w:val="18"/>
          <w:szCs w:val="18"/>
        </w:rPr>
        <w:t>for</w:t>
      </w:r>
      <w:r w:rsidRPr="00582339">
        <w:rPr>
          <w:rFonts w:ascii="Arial" w:hAnsi="Arial" w:cs="Arial"/>
          <w:sz w:val="18"/>
          <w:szCs w:val="18"/>
        </w:rPr>
        <w:t xml:space="preserve"> additional guidance.</w:t>
      </w:r>
    </w:p>
  </w:footnote>
  <w:footnote w:id="12">
    <w:p w:rsidR="004542B7" w:rsidRPr="00591C13" w:rsidRDefault="004542B7" w:rsidP="004542B7">
      <w:pPr>
        <w:pStyle w:val="FootnoteText"/>
        <w:spacing w:after="120"/>
        <w:jc w:val="both"/>
        <w:rPr>
          <w:rFonts w:ascii="Arial" w:hAnsi="Arial" w:cs="Arial"/>
          <w:sz w:val="18"/>
          <w:szCs w:val="18"/>
          <w:lang w:val="en-NZ"/>
        </w:rPr>
      </w:pPr>
      <w:r w:rsidRPr="00591C13">
        <w:rPr>
          <w:rStyle w:val="FootnoteReference"/>
          <w:rFonts w:ascii="Arial" w:hAnsi="Arial" w:cs="Arial"/>
          <w:sz w:val="18"/>
          <w:szCs w:val="18"/>
        </w:rPr>
        <w:footnoteRef/>
      </w:r>
      <w:r w:rsidRPr="00591C13">
        <w:rPr>
          <w:rFonts w:ascii="Arial" w:hAnsi="Arial" w:cs="Arial"/>
          <w:sz w:val="18"/>
          <w:szCs w:val="18"/>
        </w:rPr>
        <w:t xml:space="preserve"> </w:t>
      </w:r>
      <w:r>
        <w:rPr>
          <w:rFonts w:ascii="Arial" w:hAnsi="Arial" w:cs="Arial"/>
          <w:sz w:val="18"/>
          <w:szCs w:val="18"/>
        </w:rPr>
        <w:t xml:space="preserve">Paragraph 4(d) of Appendix to CXG 53-2003 and </w:t>
      </w:r>
      <w:r w:rsidRPr="00591C13">
        <w:rPr>
          <w:rFonts w:ascii="Arial" w:hAnsi="Arial" w:cs="Arial"/>
          <w:sz w:val="18"/>
          <w:szCs w:val="18"/>
        </w:rPr>
        <w:t xml:space="preserve">Paragraph 8 </w:t>
      </w:r>
      <w:r>
        <w:rPr>
          <w:rFonts w:ascii="Arial" w:hAnsi="Arial" w:cs="Arial"/>
          <w:sz w:val="18"/>
          <w:szCs w:val="18"/>
        </w:rPr>
        <w:t xml:space="preserve">and 9 </w:t>
      </w:r>
      <w:r w:rsidRPr="00591C13">
        <w:rPr>
          <w:rFonts w:ascii="Arial" w:hAnsi="Arial" w:cs="Arial"/>
          <w:sz w:val="18"/>
          <w:szCs w:val="18"/>
        </w:rPr>
        <w:t xml:space="preserve">of </w:t>
      </w:r>
      <w:r>
        <w:rPr>
          <w:rFonts w:ascii="Arial" w:hAnsi="Arial" w:cs="Arial"/>
          <w:sz w:val="18"/>
          <w:szCs w:val="18"/>
        </w:rPr>
        <w:t>CXG</w:t>
      </w:r>
      <w:r w:rsidRPr="00591C13">
        <w:rPr>
          <w:rFonts w:ascii="Arial" w:hAnsi="Arial" w:cs="Arial"/>
          <w:sz w:val="18"/>
          <w:szCs w:val="18"/>
        </w:rPr>
        <w:t xml:space="preserve"> 34/1999 refers.</w:t>
      </w:r>
    </w:p>
  </w:footnote>
  <w:footnote w:id="13">
    <w:p w:rsidR="004542B7" w:rsidRPr="00944381" w:rsidRDefault="004542B7" w:rsidP="00B32250">
      <w:pPr>
        <w:pStyle w:val="FootnoteText"/>
        <w:spacing w:after="40"/>
        <w:jc w:val="both"/>
        <w:rPr>
          <w:rFonts w:ascii="Arial" w:hAnsi="Arial" w:cs="Arial"/>
          <w:sz w:val="18"/>
          <w:szCs w:val="18"/>
          <w:lang w:val="en-NZ"/>
        </w:rPr>
      </w:pPr>
      <w:r w:rsidRPr="00787518">
        <w:rPr>
          <w:rStyle w:val="FootnoteReference"/>
          <w:rFonts w:ascii="Arial" w:hAnsi="Arial" w:cs="Arial"/>
          <w:sz w:val="18"/>
          <w:szCs w:val="18"/>
        </w:rPr>
        <w:footnoteRef/>
      </w:r>
      <w:r w:rsidRPr="00944381">
        <w:rPr>
          <w:rFonts w:ascii="Arial" w:hAnsi="Arial" w:cs="Arial"/>
          <w:sz w:val="18"/>
          <w:szCs w:val="18"/>
        </w:rPr>
        <w:t xml:space="preserve"> ref: </w:t>
      </w:r>
      <w:r>
        <w:rPr>
          <w:rFonts w:ascii="Arial" w:hAnsi="Arial" w:cs="Arial"/>
          <w:sz w:val="18"/>
          <w:szCs w:val="18"/>
        </w:rPr>
        <w:t>CXG</w:t>
      </w:r>
      <w:r w:rsidRPr="00944381">
        <w:rPr>
          <w:rFonts w:ascii="Arial" w:hAnsi="Arial" w:cs="Arial"/>
          <w:sz w:val="18"/>
          <w:szCs w:val="18"/>
        </w:rPr>
        <w:t xml:space="preserve"> 34-1999, Section 7; </w:t>
      </w:r>
      <w:r>
        <w:rPr>
          <w:rFonts w:ascii="Arial" w:hAnsi="Arial" w:cs="Arial"/>
          <w:sz w:val="18"/>
          <w:szCs w:val="18"/>
        </w:rPr>
        <w:t>CXG</w:t>
      </w:r>
      <w:r w:rsidRPr="00944381">
        <w:rPr>
          <w:rFonts w:ascii="Arial" w:hAnsi="Arial" w:cs="Arial"/>
          <w:sz w:val="18"/>
          <w:szCs w:val="18"/>
        </w:rPr>
        <w:t xml:space="preserve"> 82-2013, para</w:t>
      </w:r>
      <w:r>
        <w:rPr>
          <w:rFonts w:ascii="Arial" w:hAnsi="Arial" w:cs="Arial"/>
          <w:sz w:val="18"/>
          <w:szCs w:val="18"/>
        </w:rPr>
        <w:t>graph</w:t>
      </w:r>
      <w:r w:rsidRPr="00944381">
        <w:rPr>
          <w:rFonts w:ascii="Arial" w:hAnsi="Arial" w:cs="Arial"/>
          <w:sz w:val="18"/>
          <w:szCs w:val="18"/>
        </w:rPr>
        <w:t xml:space="preserve"> 43 and </w:t>
      </w:r>
      <w:r>
        <w:rPr>
          <w:rFonts w:ascii="Arial" w:hAnsi="Arial" w:cs="Arial"/>
          <w:sz w:val="18"/>
          <w:szCs w:val="18"/>
        </w:rPr>
        <w:t>CXG</w:t>
      </w:r>
      <w:r w:rsidRPr="00944381">
        <w:rPr>
          <w:rFonts w:ascii="Arial" w:hAnsi="Arial" w:cs="Arial"/>
          <w:sz w:val="18"/>
          <w:szCs w:val="18"/>
        </w:rPr>
        <w:t xml:space="preserve"> 89-2016 Section 7</w:t>
      </w:r>
    </w:p>
  </w:footnote>
  <w:footnote w:id="14">
    <w:p w:rsidR="004542B7" w:rsidRPr="00AA1964" w:rsidRDefault="004542B7" w:rsidP="00B32250">
      <w:pPr>
        <w:pStyle w:val="FootnoteText"/>
        <w:spacing w:after="40"/>
        <w:jc w:val="both"/>
        <w:rPr>
          <w:rFonts w:ascii="Arial" w:hAnsi="Arial" w:cs="Arial"/>
          <w:sz w:val="18"/>
          <w:szCs w:val="18"/>
          <w:lang w:val="en-NZ"/>
        </w:rPr>
      </w:pPr>
      <w:r w:rsidRPr="00AA1964">
        <w:rPr>
          <w:rStyle w:val="FootnoteReference"/>
          <w:rFonts w:ascii="Arial" w:hAnsi="Arial" w:cs="Arial"/>
          <w:sz w:val="18"/>
          <w:szCs w:val="18"/>
        </w:rPr>
        <w:footnoteRef/>
      </w:r>
      <w:r w:rsidRPr="00AA1964">
        <w:rPr>
          <w:rFonts w:ascii="Arial" w:hAnsi="Arial" w:cs="Arial"/>
          <w:sz w:val="18"/>
          <w:szCs w:val="18"/>
        </w:rPr>
        <w:t xml:space="preserve"> One example of a possible decision criteria could be: Regulatory decisions are </w:t>
      </w:r>
      <w:r>
        <w:rPr>
          <w:rFonts w:ascii="Arial" w:hAnsi="Arial" w:cs="Arial"/>
          <w:sz w:val="18"/>
          <w:szCs w:val="18"/>
        </w:rPr>
        <w:t>based on</w:t>
      </w:r>
      <w:r w:rsidRPr="00D9190A">
        <w:t xml:space="preserve"> </w:t>
      </w:r>
      <w:r w:rsidRPr="00D9190A">
        <w:rPr>
          <w:rFonts w:ascii="Arial" w:hAnsi="Arial" w:cs="Arial"/>
          <w:sz w:val="18"/>
          <w:szCs w:val="18"/>
        </w:rPr>
        <w:t>sound scientific analysis</w:t>
      </w:r>
      <w:r>
        <w:rPr>
          <w:rFonts w:ascii="Arial" w:hAnsi="Arial" w:cs="Arial"/>
          <w:sz w:val="18"/>
          <w:szCs w:val="18"/>
        </w:rPr>
        <w:t xml:space="preserve"> and </w:t>
      </w:r>
      <w:r w:rsidRPr="00AA1964">
        <w:rPr>
          <w:rFonts w:ascii="Arial" w:hAnsi="Arial" w:cs="Arial"/>
          <w:sz w:val="18"/>
          <w:szCs w:val="18"/>
        </w:rPr>
        <w:t>evidence</w:t>
      </w:r>
      <w:r>
        <w:rPr>
          <w:rFonts w:ascii="Arial" w:hAnsi="Arial" w:cs="Arial"/>
          <w:sz w:val="18"/>
          <w:szCs w:val="18"/>
        </w:rPr>
        <w:t>,</w:t>
      </w:r>
      <w:r w:rsidRPr="00D9190A">
        <w:t xml:space="preserve"> </w:t>
      </w:r>
      <w:r w:rsidRPr="00D9190A">
        <w:rPr>
          <w:rFonts w:ascii="Arial" w:hAnsi="Arial" w:cs="Arial"/>
          <w:sz w:val="18"/>
          <w:szCs w:val="18"/>
        </w:rPr>
        <w:t>involving a thorough review of all</w:t>
      </w:r>
      <w:r w:rsidRPr="00AA1964">
        <w:rPr>
          <w:rFonts w:ascii="Arial" w:hAnsi="Arial" w:cs="Arial"/>
          <w:sz w:val="18"/>
          <w:szCs w:val="18"/>
        </w:rPr>
        <w:t xml:space="preserve"> relevant </w:t>
      </w:r>
      <w:r>
        <w:rPr>
          <w:rFonts w:ascii="Arial" w:hAnsi="Arial" w:cs="Arial"/>
          <w:sz w:val="18"/>
          <w:szCs w:val="18"/>
        </w:rPr>
        <w:t xml:space="preserve">information (e.g. </w:t>
      </w:r>
      <w:r w:rsidRPr="00AA1964">
        <w:rPr>
          <w:rFonts w:ascii="Arial" w:hAnsi="Arial" w:cs="Arial"/>
          <w:sz w:val="18"/>
          <w:szCs w:val="18"/>
        </w:rPr>
        <w:t>historical regulatory decisions, published risk assessments</w:t>
      </w:r>
      <w:r>
        <w:rPr>
          <w:rFonts w:ascii="Arial" w:hAnsi="Arial" w:cs="Arial"/>
          <w:sz w:val="18"/>
          <w:szCs w:val="18"/>
        </w:rPr>
        <w:t>,</w:t>
      </w:r>
      <w:r w:rsidRPr="00AA1964">
        <w:rPr>
          <w:rFonts w:ascii="Arial" w:hAnsi="Arial" w:cs="Arial"/>
          <w:sz w:val="18"/>
          <w:szCs w:val="18"/>
        </w:rPr>
        <w:t xml:space="preserve"> or compliance actions</w:t>
      </w:r>
      <w:r>
        <w:rPr>
          <w:rFonts w:ascii="Arial" w:hAnsi="Arial" w:cs="Arial"/>
          <w:sz w:val="18"/>
          <w:szCs w:val="18"/>
        </w:rPr>
        <w:t>)</w:t>
      </w:r>
      <w:r w:rsidRPr="00AA1964">
        <w:rPr>
          <w:rFonts w:ascii="Arial" w:hAnsi="Arial" w:cs="Arial"/>
          <w:sz w:val="18"/>
          <w:szCs w:val="18"/>
        </w:rPr>
        <w:t xml:space="preserve">.  </w:t>
      </w:r>
    </w:p>
  </w:footnote>
  <w:footnote w:id="15">
    <w:p w:rsidR="004542B7" w:rsidRPr="00094F6F" w:rsidRDefault="004542B7" w:rsidP="00B32250">
      <w:pPr>
        <w:pStyle w:val="FootnoteText"/>
        <w:spacing w:after="40"/>
        <w:jc w:val="both"/>
        <w:rPr>
          <w:rFonts w:ascii="Arial" w:hAnsi="Arial" w:cs="Arial"/>
          <w:sz w:val="18"/>
          <w:szCs w:val="18"/>
          <w:lang w:val="en-NZ"/>
        </w:rPr>
      </w:pPr>
      <w:r w:rsidRPr="00787518">
        <w:rPr>
          <w:rStyle w:val="FootnoteReference"/>
          <w:rFonts w:ascii="Arial" w:hAnsi="Arial" w:cs="Arial"/>
          <w:sz w:val="18"/>
          <w:szCs w:val="18"/>
        </w:rPr>
        <w:footnoteRef/>
      </w:r>
      <w:r w:rsidRPr="00094F6F">
        <w:rPr>
          <w:rFonts w:ascii="Arial" w:hAnsi="Arial" w:cs="Arial"/>
          <w:sz w:val="18"/>
          <w:szCs w:val="18"/>
        </w:rPr>
        <w:t xml:space="preserve"> See Appendix B of </w:t>
      </w:r>
      <w:r>
        <w:rPr>
          <w:rFonts w:ascii="Arial" w:hAnsi="Arial" w:cs="Arial"/>
          <w:sz w:val="18"/>
          <w:szCs w:val="18"/>
        </w:rPr>
        <w:t>CXG</w:t>
      </w:r>
      <w:r w:rsidRPr="00094F6F">
        <w:rPr>
          <w:rFonts w:ascii="Arial" w:hAnsi="Arial" w:cs="Arial"/>
          <w:sz w:val="18"/>
          <w:szCs w:val="18"/>
        </w:rPr>
        <w:t xml:space="preserve"> 91-2017 for some illustrative examples of outcomes and examples of potential indicators for those selected outcomes. </w:t>
      </w:r>
    </w:p>
  </w:footnote>
  <w:footnote w:id="16">
    <w:p w:rsidR="004542B7" w:rsidRPr="00094F6F" w:rsidRDefault="004542B7" w:rsidP="00B32250">
      <w:pPr>
        <w:pStyle w:val="FootnoteText"/>
        <w:rPr>
          <w:rFonts w:ascii="Arial" w:hAnsi="Arial" w:cs="Arial"/>
          <w:sz w:val="18"/>
          <w:szCs w:val="18"/>
          <w:lang w:val="en-NZ"/>
        </w:rPr>
      </w:pPr>
      <w:r w:rsidRPr="00094F6F">
        <w:rPr>
          <w:rStyle w:val="FootnoteReference"/>
          <w:rFonts w:ascii="Arial" w:hAnsi="Arial" w:cs="Arial"/>
          <w:sz w:val="18"/>
          <w:szCs w:val="18"/>
        </w:rPr>
        <w:footnoteRef/>
      </w:r>
      <w:r w:rsidRPr="00094F6F">
        <w:rPr>
          <w:rFonts w:ascii="Arial" w:hAnsi="Arial" w:cs="Arial"/>
          <w:sz w:val="18"/>
          <w:szCs w:val="18"/>
        </w:rPr>
        <w:t xml:space="preserve"> </w:t>
      </w:r>
      <w:r>
        <w:rPr>
          <w:rFonts w:ascii="Arial" w:hAnsi="Arial" w:cs="Arial"/>
          <w:sz w:val="18"/>
          <w:szCs w:val="18"/>
        </w:rPr>
        <w:t xml:space="preserve">See </w:t>
      </w:r>
      <w:r w:rsidRPr="00094F6F">
        <w:rPr>
          <w:rFonts w:ascii="Arial" w:hAnsi="Arial" w:cs="Arial"/>
          <w:sz w:val="18"/>
          <w:szCs w:val="18"/>
        </w:rPr>
        <w:t xml:space="preserve">Paragraph 6 d) </w:t>
      </w:r>
      <w:r>
        <w:rPr>
          <w:rFonts w:ascii="Arial" w:hAnsi="Arial" w:cs="Arial"/>
          <w:sz w:val="18"/>
          <w:szCs w:val="18"/>
        </w:rPr>
        <w:t xml:space="preserve">of CXG </w:t>
      </w:r>
      <w:r w:rsidRPr="00094F6F">
        <w:rPr>
          <w:rFonts w:ascii="Arial" w:hAnsi="Arial" w:cs="Arial"/>
          <w:sz w:val="18"/>
          <w:szCs w:val="18"/>
        </w:rPr>
        <w:t>89-2016</w:t>
      </w:r>
    </w:p>
  </w:footnote>
  <w:footnote w:id="17">
    <w:p w:rsidR="004542B7" w:rsidRPr="00094F6F" w:rsidRDefault="004542B7" w:rsidP="00B32250">
      <w:pPr>
        <w:pStyle w:val="FootnoteText"/>
        <w:jc w:val="both"/>
        <w:rPr>
          <w:rFonts w:ascii="Arial" w:hAnsi="Arial" w:cs="Arial"/>
          <w:sz w:val="18"/>
          <w:szCs w:val="18"/>
          <w:lang w:val="en-NZ"/>
        </w:rPr>
      </w:pPr>
      <w:r w:rsidRPr="00094F6F">
        <w:rPr>
          <w:rStyle w:val="FootnoteReference"/>
          <w:rFonts w:ascii="Arial" w:hAnsi="Arial" w:cs="Arial"/>
          <w:sz w:val="18"/>
          <w:szCs w:val="18"/>
        </w:rPr>
        <w:footnoteRef/>
      </w:r>
      <w:r w:rsidRPr="00094F6F">
        <w:rPr>
          <w:rFonts w:ascii="Arial" w:hAnsi="Arial" w:cs="Arial"/>
          <w:sz w:val="18"/>
          <w:szCs w:val="18"/>
        </w:rPr>
        <w:t xml:space="preserve"> See </w:t>
      </w:r>
      <w:r>
        <w:rPr>
          <w:rFonts w:ascii="Arial" w:hAnsi="Arial" w:cs="Arial"/>
          <w:sz w:val="18"/>
          <w:szCs w:val="18"/>
        </w:rPr>
        <w:t xml:space="preserve">the </w:t>
      </w:r>
      <w:r w:rsidRPr="00094F6F">
        <w:rPr>
          <w:rFonts w:ascii="Arial" w:hAnsi="Arial" w:cs="Arial"/>
          <w:sz w:val="18"/>
          <w:szCs w:val="18"/>
        </w:rPr>
        <w:t xml:space="preserve">Annex to </w:t>
      </w:r>
      <w:r>
        <w:rPr>
          <w:rFonts w:ascii="Arial" w:hAnsi="Arial" w:cs="Arial"/>
          <w:sz w:val="18"/>
          <w:szCs w:val="18"/>
        </w:rPr>
        <w:t>CXG</w:t>
      </w:r>
      <w:r w:rsidRPr="00094F6F">
        <w:rPr>
          <w:rFonts w:ascii="Arial" w:hAnsi="Arial" w:cs="Arial"/>
          <w:sz w:val="18"/>
          <w:szCs w:val="18"/>
        </w:rPr>
        <w:t xml:space="preserve"> 26/1997 for further guidance on the conduct of assessments</w:t>
      </w:r>
    </w:p>
  </w:footnote>
  <w:footnote w:id="18">
    <w:p w:rsidR="004542B7" w:rsidRPr="00094F6F" w:rsidRDefault="004542B7" w:rsidP="004542B7">
      <w:pPr>
        <w:pStyle w:val="FootnoteText"/>
        <w:spacing w:after="120"/>
        <w:jc w:val="both"/>
        <w:rPr>
          <w:rFonts w:ascii="Arial" w:hAnsi="Arial" w:cs="Arial"/>
          <w:sz w:val="18"/>
          <w:szCs w:val="18"/>
          <w:lang w:val="en-NZ"/>
        </w:rPr>
      </w:pPr>
      <w:r w:rsidRPr="00787518">
        <w:rPr>
          <w:rStyle w:val="FootnoteReference"/>
          <w:rFonts w:ascii="Arial" w:hAnsi="Arial" w:cs="Arial"/>
          <w:sz w:val="18"/>
          <w:szCs w:val="18"/>
        </w:rPr>
        <w:footnoteRef/>
      </w:r>
      <w:r w:rsidRPr="00094F6F">
        <w:rPr>
          <w:rFonts w:ascii="Arial" w:hAnsi="Arial" w:cs="Arial"/>
          <w:sz w:val="18"/>
          <w:szCs w:val="18"/>
        </w:rPr>
        <w:t xml:space="preserve"> </w:t>
      </w:r>
      <w:r>
        <w:rPr>
          <w:rFonts w:ascii="Arial" w:hAnsi="Arial" w:cs="Arial"/>
          <w:sz w:val="18"/>
          <w:szCs w:val="18"/>
        </w:rPr>
        <w:t>P</w:t>
      </w:r>
      <w:r w:rsidRPr="00094F6F">
        <w:rPr>
          <w:rFonts w:ascii="Arial" w:hAnsi="Arial" w:cs="Arial"/>
          <w:sz w:val="18"/>
          <w:szCs w:val="18"/>
        </w:rPr>
        <w:t>aragraph 36</w:t>
      </w:r>
      <w:r>
        <w:rPr>
          <w:rFonts w:ascii="Arial" w:hAnsi="Arial" w:cs="Arial"/>
          <w:sz w:val="18"/>
          <w:szCs w:val="18"/>
        </w:rPr>
        <w:t>,</w:t>
      </w:r>
      <w:r w:rsidRPr="00094F6F">
        <w:rPr>
          <w:rFonts w:ascii="Arial" w:hAnsi="Arial" w:cs="Arial"/>
          <w:sz w:val="18"/>
          <w:szCs w:val="18"/>
        </w:rPr>
        <w:t xml:space="preserve"> </w:t>
      </w:r>
      <w:r>
        <w:rPr>
          <w:rFonts w:ascii="Arial" w:hAnsi="Arial" w:cs="Arial"/>
          <w:sz w:val="18"/>
          <w:szCs w:val="18"/>
        </w:rPr>
        <w:t>CXG</w:t>
      </w:r>
      <w:r w:rsidRPr="00094F6F">
        <w:rPr>
          <w:rFonts w:ascii="Arial" w:hAnsi="Arial" w:cs="Arial"/>
          <w:sz w:val="18"/>
          <w:szCs w:val="18"/>
        </w:rPr>
        <w:t xml:space="preserve"> 82-2013</w:t>
      </w:r>
    </w:p>
  </w:footnote>
  <w:footnote w:id="19">
    <w:p w:rsidR="004542B7" w:rsidRPr="000749F5" w:rsidRDefault="004542B7" w:rsidP="004542B7">
      <w:pPr>
        <w:pStyle w:val="FootnoteText"/>
        <w:spacing w:after="120"/>
        <w:jc w:val="both"/>
        <w:rPr>
          <w:rFonts w:ascii="Arial" w:hAnsi="Arial" w:cs="Arial"/>
          <w:sz w:val="18"/>
          <w:szCs w:val="18"/>
          <w:lang w:val="en-NZ"/>
        </w:rPr>
      </w:pPr>
      <w:r w:rsidRPr="000749F5">
        <w:rPr>
          <w:rStyle w:val="FootnoteReference"/>
          <w:rFonts w:ascii="Arial" w:hAnsi="Arial" w:cs="Arial"/>
          <w:sz w:val="18"/>
          <w:szCs w:val="18"/>
        </w:rPr>
        <w:footnoteRef/>
      </w:r>
      <w:r w:rsidRPr="000749F5">
        <w:rPr>
          <w:rFonts w:ascii="Arial" w:hAnsi="Arial" w:cs="Arial"/>
          <w:sz w:val="18"/>
          <w:szCs w:val="18"/>
        </w:rPr>
        <w:t xml:space="preserve"> Examples could include technical exchanges to help facilitate better understanding of each country’s systems, or assistance with making changes to those parts of the NFCS that are identified during the assessment process as needing further development.</w:t>
      </w:r>
    </w:p>
  </w:footnote>
  <w:footnote w:id="20">
    <w:p w:rsidR="004542B7" w:rsidRPr="00944381" w:rsidRDefault="004542B7" w:rsidP="004542B7">
      <w:pPr>
        <w:pStyle w:val="FootnoteText"/>
        <w:spacing w:after="120"/>
        <w:jc w:val="both"/>
        <w:rPr>
          <w:rFonts w:ascii="Arial" w:hAnsi="Arial" w:cs="Arial"/>
          <w:sz w:val="18"/>
          <w:szCs w:val="18"/>
          <w:lang w:val="en-NZ"/>
        </w:rPr>
      </w:pPr>
      <w:r w:rsidRPr="00787518">
        <w:rPr>
          <w:rStyle w:val="FootnoteReference"/>
          <w:rFonts w:ascii="Arial" w:hAnsi="Arial" w:cs="Arial"/>
          <w:sz w:val="18"/>
          <w:szCs w:val="18"/>
        </w:rPr>
        <w:footnoteRef/>
      </w:r>
      <w:r w:rsidRPr="00944381">
        <w:rPr>
          <w:rFonts w:ascii="Arial" w:hAnsi="Arial" w:cs="Arial"/>
          <w:sz w:val="18"/>
          <w:szCs w:val="18"/>
        </w:rPr>
        <w:t xml:space="preserve"> Although this guideline refers to “countries” and “agreements,” in many cases the relevant competent authorities will enter into agreements or other arrangements.  </w:t>
      </w:r>
      <w:r>
        <w:rPr>
          <w:rFonts w:ascii="Arial" w:hAnsi="Arial" w:cs="Arial"/>
          <w:sz w:val="18"/>
          <w:szCs w:val="18"/>
        </w:rPr>
        <w:t>CXG</w:t>
      </w:r>
      <w:r w:rsidRPr="00944381">
        <w:rPr>
          <w:rFonts w:ascii="Arial" w:hAnsi="Arial" w:cs="Arial"/>
          <w:sz w:val="18"/>
          <w:szCs w:val="18"/>
        </w:rPr>
        <w:t xml:space="preserve"> 34-1999 Appendix A provides a list of information that could, as appropriate, be included in an equivalence agreement.</w:t>
      </w:r>
    </w:p>
  </w:footnote>
  <w:footnote w:id="21">
    <w:p w:rsidR="004542B7" w:rsidRPr="001152C2" w:rsidRDefault="004542B7" w:rsidP="004542B7">
      <w:pPr>
        <w:pStyle w:val="FootnoteText"/>
        <w:spacing w:after="120"/>
        <w:jc w:val="both"/>
        <w:rPr>
          <w:rFonts w:ascii="Arial" w:hAnsi="Arial" w:cs="Arial"/>
          <w:sz w:val="18"/>
          <w:szCs w:val="18"/>
          <w:lang w:val="en-NZ"/>
        </w:rPr>
      </w:pPr>
      <w:r w:rsidRPr="001152C2">
        <w:rPr>
          <w:rStyle w:val="FootnoteReference"/>
          <w:rFonts w:ascii="Arial" w:hAnsi="Arial" w:cs="Arial"/>
          <w:sz w:val="18"/>
          <w:szCs w:val="18"/>
        </w:rPr>
        <w:footnoteRef/>
      </w:r>
      <w:r w:rsidRPr="001152C2">
        <w:rPr>
          <w:rFonts w:ascii="Arial" w:hAnsi="Arial" w:cs="Arial"/>
          <w:sz w:val="18"/>
          <w:szCs w:val="18"/>
        </w:rPr>
        <w:t xml:space="preserve"> </w:t>
      </w:r>
      <w:r w:rsidRPr="001152C2">
        <w:rPr>
          <w:rFonts w:ascii="Arial" w:hAnsi="Arial" w:cs="Arial"/>
          <w:sz w:val="18"/>
          <w:szCs w:val="18"/>
          <w:lang w:val="en-NZ"/>
        </w:rPr>
        <w:t xml:space="preserve">See Section 1(2) of the Annex to </w:t>
      </w:r>
      <w:r>
        <w:rPr>
          <w:rFonts w:ascii="Arial" w:hAnsi="Arial" w:cs="Arial"/>
          <w:sz w:val="18"/>
          <w:szCs w:val="18"/>
          <w:lang w:val="en-NZ"/>
        </w:rPr>
        <w:t>CXG</w:t>
      </w:r>
      <w:r w:rsidRPr="001152C2">
        <w:rPr>
          <w:rFonts w:ascii="Arial" w:hAnsi="Arial" w:cs="Arial"/>
          <w:sz w:val="18"/>
          <w:szCs w:val="18"/>
          <w:lang w:val="en-NZ"/>
        </w:rPr>
        <w:t xml:space="preserve"> 26-1997 (</w:t>
      </w:r>
      <w:r w:rsidRPr="001152C2">
        <w:rPr>
          <w:rFonts w:ascii="Arial" w:hAnsi="Arial" w:cs="Arial"/>
          <w:i/>
          <w:sz w:val="18"/>
          <w:szCs w:val="18"/>
          <w:lang w:val="en-NZ"/>
        </w:rPr>
        <w:t>Principles and Guidelines for the Conduct of Assessments of Foreign Official Inspection and Certification Systems</w:t>
      </w:r>
      <w:r w:rsidRPr="001152C2">
        <w:rPr>
          <w:rFonts w:ascii="Arial" w:hAnsi="Arial" w:cs="Arial"/>
          <w:sz w:val="18"/>
          <w:szCs w:val="18"/>
          <w:lang w:val="en-NZ"/>
        </w:rPr>
        <w:t>)</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42EC7"/>
    <w:multiLevelType w:val="hybridMultilevel"/>
    <w:tmpl w:val="9AC4D4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05A7865"/>
    <w:multiLevelType w:val="hybridMultilevel"/>
    <w:tmpl w:val="217279C8"/>
    <w:lvl w:ilvl="0" w:tplc="1409001B">
      <w:start w:val="1"/>
      <w:numFmt w:val="lowerRoman"/>
      <w:lvlText w:val="%1."/>
      <w:lvlJc w:val="righ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 w15:restartNumberingAfterBreak="0">
    <w:nsid w:val="13C523A6"/>
    <w:multiLevelType w:val="hybridMultilevel"/>
    <w:tmpl w:val="7F765FB4"/>
    <w:lvl w:ilvl="0" w:tplc="1409000F">
      <w:start w:val="1"/>
      <w:numFmt w:val="decimal"/>
      <w:lvlText w:val="%1."/>
      <w:lvlJc w:val="left"/>
      <w:pPr>
        <w:ind w:left="360" w:hanging="360"/>
      </w:pPr>
    </w:lvl>
    <w:lvl w:ilvl="1" w:tplc="14090015">
      <w:start w:val="1"/>
      <w:numFmt w:val="upperLetter"/>
      <w:lvlText w:val="%2."/>
      <w:lvlJc w:val="left"/>
      <w:pPr>
        <w:ind w:left="1080" w:hanging="360"/>
      </w:pPr>
    </w:lvl>
    <w:lvl w:ilvl="2" w:tplc="14090015">
      <w:start w:val="1"/>
      <w:numFmt w:val="upperLetter"/>
      <w:lvlText w:val="%3."/>
      <w:lvlJc w:val="lef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 w15:restartNumberingAfterBreak="0">
    <w:nsid w:val="161C6BC2"/>
    <w:multiLevelType w:val="hybridMultilevel"/>
    <w:tmpl w:val="A46C52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850719C"/>
    <w:multiLevelType w:val="hybridMultilevel"/>
    <w:tmpl w:val="7610AED0"/>
    <w:lvl w:ilvl="0" w:tplc="1409000F">
      <w:start w:val="1"/>
      <w:numFmt w:val="decimal"/>
      <w:lvlText w:val="%1."/>
      <w:lvlJc w:val="left"/>
      <w:pPr>
        <w:ind w:left="360" w:hanging="360"/>
      </w:pPr>
    </w:lvl>
    <w:lvl w:ilvl="1" w:tplc="1409001B">
      <w:start w:val="1"/>
      <w:numFmt w:val="lowerRoman"/>
      <w:lvlText w:val="%2."/>
      <w:lvlJc w:val="right"/>
      <w:pPr>
        <w:ind w:left="1080" w:hanging="360"/>
      </w:p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5" w15:restartNumberingAfterBreak="0">
    <w:nsid w:val="18FF1B2F"/>
    <w:multiLevelType w:val="hybridMultilevel"/>
    <w:tmpl w:val="2718476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1A184B00"/>
    <w:multiLevelType w:val="multilevel"/>
    <w:tmpl w:val="2B281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7D02229"/>
    <w:multiLevelType w:val="hybridMultilevel"/>
    <w:tmpl w:val="8D74220C"/>
    <w:lvl w:ilvl="0" w:tplc="14090001">
      <w:start w:val="1"/>
      <w:numFmt w:val="bullet"/>
      <w:lvlText w:val=""/>
      <w:lvlJc w:val="left"/>
      <w:pPr>
        <w:ind w:left="717" w:hanging="360"/>
      </w:pPr>
      <w:rPr>
        <w:rFonts w:ascii="Symbol" w:hAnsi="Symbol" w:hint="default"/>
      </w:rPr>
    </w:lvl>
    <w:lvl w:ilvl="1" w:tplc="14090003" w:tentative="1">
      <w:start w:val="1"/>
      <w:numFmt w:val="bullet"/>
      <w:lvlText w:val="o"/>
      <w:lvlJc w:val="left"/>
      <w:pPr>
        <w:ind w:left="1437" w:hanging="360"/>
      </w:pPr>
      <w:rPr>
        <w:rFonts w:ascii="Courier New" w:hAnsi="Courier New" w:cs="Courier New" w:hint="default"/>
      </w:rPr>
    </w:lvl>
    <w:lvl w:ilvl="2" w:tplc="14090005" w:tentative="1">
      <w:start w:val="1"/>
      <w:numFmt w:val="bullet"/>
      <w:lvlText w:val=""/>
      <w:lvlJc w:val="left"/>
      <w:pPr>
        <w:ind w:left="2157" w:hanging="360"/>
      </w:pPr>
      <w:rPr>
        <w:rFonts w:ascii="Wingdings" w:hAnsi="Wingdings" w:hint="default"/>
      </w:rPr>
    </w:lvl>
    <w:lvl w:ilvl="3" w:tplc="14090001" w:tentative="1">
      <w:start w:val="1"/>
      <w:numFmt w:val="bullet"/>
      <w:lvlText w:val=""/>
      <w:lvlJc w:val="left"/>
      <w:pPr>
        <w:ind w:left="2877" w:hanging="360"/>
      </w:pPr>
      <w:rPr>
        <w:rFonts w:ascii="Symbol" w:hAnsi="Symbol" w:hint="default"/>
      </w:rPr>
    </w:lvl>
    <w:lvl w:ilvl="4" w:tplc="14090003" w:tentative="1">
      <w:start w:val="1"/>
      <w:numFmt w:val="bullet"/>
      <w:lvlText w:val="o"/>
      <w:lvlJc w:val="left"/>
      <w:pPr>
        <w:ind w:left="3597" w:hanging="360"/>
      </w:pPr>
      <w:rPr>
        <w:rFonts w:ascii="Courier New" w:hAnsi="Courier New" w:cs="Courier New" w:hint="default"/>
      </w:rPr>
    </w:lvl>
    <w:lvl w:ilvl="5" w:tplc="14090005" w:tentative="1">
      <w:start w:val="1"/>
      <w:numFmt w:val="bullet"/>
      <w:lvlText w:val=""/>
      <w:lvlJc w:val="left"/>
      <w:pPr>
        <w:ind w:left="4317" w:hanging="360"/>
      </w:pPr>
      <w:rPr>
        <w:rFonts w:ascii="Wingdings" w:hAnsi="Wingdings" w:hint="default"/>
      </w:rPr>
    </w:lvl>
    <w:lvl w:ilvl="6" w:tplc="14090001" w:tentative="1">
      <w:start w:val="1"/>
      <w:numFmt w:val="bullet"/>
      <w:lvlText w:val=""/>
      <w:lvlJc w:val="left"/>
      <w:pPr>
        <w:ind w:left="5037" w:hanging="360"/>
      </w:pPr>
      <w:rPr>
        <w:rFonts w:ascii="Symbol" w:hAnsi="Symbol" w:hint="default"/>
      </w:rPr>
    </w:lvl>
    <w:lvl w:ilvl="7" w:tplc="14090003" w:tentative="1">
      <w:start w:val="1"/>
      <w:numFmt w:val="bullet"/>
      <w:lvlText w:val="o"/>
      <w:lvlJc w:val="left"/>
      <w:pPr>
        <w:ind w:left="5757" w:hanging="360"/>
      </w:pPr>
      <w:rPr>
        <w:rFonts w:ascii="Courier New" w:hAnsi="Courier New" w:cs="Courier New" w:hint="default"/>
      </w:rPr>
    </w:lvl>
    <w:lvl w:ilvl="8" w:tplc="14090005" w:tentative="1">
      <w:start w:val="1"/>
      <w:numFmt w:val="bullet"/>
      <w:lvlText w:val=""/>
      <w:lvlJc w:val="left"/>
      <w:pPr>
        <w:ind w:left="6477" w:hanging="360"/>
      </w:pPr>
      <w:rPr>
        <w:rFonts w:ascii="Wingdings" w:hAnsi="Wingdings" w:hint="default"/>
      </w:rPr>
    </w:lvl>
  </w:abstractNum>
  <w:abstractNum w:abstractNumId="8" w15:restartNumberingAfterBreak="0">
    <w:nsid w:val="2CD651FF"/>
    <w:multiLevelType w:val="hybridMultilevel"/>
    <w:tmpl w:val="D054A55A"/>
    <w:lvl w:ilvl="0" w:tplc="14090001">
      <w:start w:val="1"/>
      <w:numFmt w:val="bullet"/>
      <w:lvlText w:val=""/>
      <w:lvlJc w:val="left"/>
      <w:pPr>
        <w:ind w:left="-698" w:hanging="360"/>
      </w:pPr>
      <w:rPr>
        <w:rFonts w:ascii="Symbol" w:hAnsi="Symbol" w:hint="default"/>
      </w:rPr>
    </w:lvl>
    <w:lvl w:ilvl="1" w:tplc="14090003">
      <w:start w:val="1"/>
      <w:numFmt w:val="bullet"/>
      <w:lvlText w:val="o"/>
      <w:lvlJc w:val="left"/>
      <w:pPr>
        <w:ind w:left="22" w:hanging="360"/>
      </w:pPr>
      <w:rPr>
        <w:rFonts w:ascii="Courier New" w:hAnsi="Courier New" w:cs="Courier New" w:hint="default"/>
      </w:rPr>
    </w:lvl>
    <w:lvl w:ilvl="2" w:tplc="14090005" w:tentative="1">
      <w:start w:val="1"/>
      <w:numFmt w:val="bullet"/>
      <w:lvlText w:val=""/>
      <w:lvlJc w:val="left"/>
      <w:pPr>
        <w:ind w:left="742" w:hanging="360"/>
      </w:pPr>
      <w:rPr>
        <w:rFonts w:ascii="Wingdings" w:hAnsi="Wingdings" w:hint="default"/>
      </w:rPr>
    </w:lvl>
    <w:lvl w:ilvl="3" w:tplc="14090001" w:tentative="1">
      <w:start w:val="1"/>
      <w:numFmt w:val="bullet"/>
      <w:lvlText w:val=""/>
      <w:lvlJc w:val="left"/>
      <w:pPr>
        <w:ind w:left="1462" w:hanging="360"/>
      </w:pPr>
      <w:rPr>
        <w:rFonts w:ascii="Symbol" w:hAnsi="Symbol" w:hint="default"/>
      </w:rPr>
    </w:lvl>
    <w:lvl w:ilvl="4" w:tplc="14090003" w:tentative="1">
      <w:start w:val="1"/>
      <w:numFmt w:val="bullet"/>
      <w:lvlText w:val="o"/>
      <w:lvlJc w:val="left"/>
      <w:pPr>
        <w:ind w:left="2182" w:hanging="360"/>
      </w:pPr>
      <w:rPr>
        <w:rFonts w:ascii="Courier New" w:hAnsi="Courier New" w:cs="Courier New" w:hint="default"/>
      </w:rPr>
    </w:lvl>
    <w:lvl w:ilvl="5" w:tplc="14090005" w:tentative="1">
      <w:start w:val="1"/>
      <w:numFmt w:val="bullet"/>
      <w:lvlText w:val=""/>
      <w:lvlJc w:val="left"/>
      <w:pPr>
        <w:ind w:left="2902" w:hanging="360"/>
      </w:pPr>
      <w:rPr>
        <w:rFonts w:ascii="Wingdings" w:hAnsi="Wingdings" w:hint="default"/>
      </w:rPr>
    </w:lvl>
    <w:lvl w:ilvl="6" w:tplc="14090001" w:tentative="1">
      <w:start w:val="1"/>
      <w:numFmt w:val="bullet"/>
      <w:lvlText w:val=""/>
      <w:lvlJc w:val="left"/>
      <w:pPr>
        <w:ind w:left="3622" w:hanging="360"/>
      </w:pPr>
      <w:rPr>
        <w:rFonts w:ascii="Symbol" w:hAnsi="Symbol" w:hint="default"/>
      </w:rPr>
    </w:lvl>
    <w:lvl w:ilvl="7" w:tplc="14090003" w:tentative="1">
      <w:start w:val="1"/>
      <w:numFmt w:val="bullet"/>
      <w:lvlText w:val="o"/>
      <w:lvlJc w:val="left"/>
      <w:pPr>
        <w:ind w:left="4342" w:hanging="360"/>
      </w:pPr>
      <w:rPr>
        <w:rFonts w:ascii="Courier New" w:hAnsi="Courier New" w:cs="Courier New" w:hint="default"/>
      </w:rPr>
    </w:lvl>
    <w:lvl w:ilvl="8" w:tplc="14090005" w:tentative="1">
      <w:start w:val="1"/>
      <w:numFmt w:val="bullet"/>
      <w:lvlText w:val=""/>
      <w:lvlJc w:val="left"/>
      <w:pPr>
        <w:ind w:left="5062" w:hanging="360"/>
      </w:pPr>
      <w:rPr>
        <w:rFonts w:ascii="Wingdings" w:hAnsi="Wingdings" w:hint="default"/>
      </w:rPr>
    </w:lvl>
  </w:abstractNum>
  <w:abstractNum w:abstractNumId="9" w15:restartNumberingAfterBreak="0">
    <w:nsid w:val="2D9F68AE"/>
    <w:multiLevelType w:val="multilevel"/>
    <w:tmpl w:val="7070E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DA53EA3"/>
    <w:multiLevelType w:val="hybridMultilevel"/>
    <w:tmpl w:val="5F584A68"/>
    <w:lvl w:ilvl="0" w:tplc="14090001">
      <w:start w:val="1"/>
      <w:numFmt w:val="bullet"/>
      <w:lvlText w:val=""/>
      <w:lvlJc w:val="left"/>
      <w:pPr>
        <w:ind w:left="1434" w:hanging="360"/>
      </w:pPr>
      <w:rPr>
        <w:rFonts w:ascii="Symbol" w:hAnsi="Symbol" w:hint="default"/>
      </w:rPr>
    </w:lvl>
    <w:lvl w:ilvl="1" w:tplc="14090003" w:tentative="1">
      <w:start w:val="1"/>
      <w:numFmt w:val="bullet"/>
      <w:lvlText w:val="o"/>
      <w:lvlJc w:val="left"/>
      <w:pPr>
        <w:ind w:left="2154" w:hanging="360"/>
      </w:pPr>
      <w:rPr>
        <w:rFonts w:ascii="Courier New" w:hAnsi="Courier New" w:cs="Courier New" w:hint="default"/>
      </w:rPr>
    </w:lvl>
    <w:lvl w:ilvl="2" w:tplc="14090005" w:tentative="1">
      <w:start w:val="1"/>
      <w:numFmt w:val="bullet"/>
      <w:lvlText w:val=""/>
      <w:lvlJc w:val="left"/>
      <w:pPr>
        <w:ind w:left="2874" w:hanging="360"/>
      </w:pPr>
      <w:rPr>
        <w:rFonts w:ascii="Wingdings" w:hAnsi="Wingdings" w:hint="default"/>
      </w:rPr>
    </w:lvl>
    <w:lvl w:ilvl="3" w:tplc="14090001" w:tentative="1">
      <w:start w:val="1"/>
      <w:numFmt w:val="bullet"/>
      <w:lvlText w:val=""/>
      <w:lvlJc w:val="left"/>
      <w:pPr>
        <w:ind w:left="3594" w:hanging="360"/>
      </w:pPr>
      <w:rPr>
        <w:rFonts w:ascii="Symbol" w:hAnsi="Symbol" w:hint="default"/>
      </w:rPr>
    </w:lvl>
    <w:lvl w:ilvl="4" w:tplc="14090003" w:tentative="1">
      <w:start w:val="1"/>
      <w:numFmt w:val="bullet"/>
      <w:lvlText w:val="o"/>
      <w:lvlJc w:val="left"/>
      <w:pPr>
        <w:ind w:left="4314" w:hanging="360"/>
      </w:pPr>
      <w:rPr>
        <w:rFonts w:ascii="Courier New" w:hAnsi="Courier New" w:cs="Courier New" w:hint="default"/>
      </w:rPr>
    </w:lvl>
    <w:lvl w:ilvl="5" w:tplc="14090005" w:tentative="1">
      <w:start w:val="1"/>
      <w:numFmt w:val="bullet"/>
      <w:lvlText w:val=""/>
      <w:lvlJc w:val="left"/>
      <w:pPr>
        <w:ind w:left="5034" w:hanging="360"/>
      </w:pPr>
      <w:rPr>
        <w:rFonts w:ascii="Wingdings" w:hAnsi="Wingdings" w:hint="default"/>
      </w:rPr>
    </w:lvl>
    <w:lvl w:ilvl="6" w:tplc="14090001" w:tentative="1">
      <w:start w:val="1"/>
      <w:numFmt w:val="bullet"/>
      <w:lvlText w:val=""/>
      <w:lvlJc w:val="left"/>
      <w:pPr>
        <w:ind w:left="5754" w:hanging="360"/>
      </w:pPr>
      <w:rPr>
        <w:rFonts w:ascii="Symbol" w:hAnsi="Symbol" w:hint="default"/>
      </w:rPr>
    </w:lvl>
    <w:lvl w:ilvl="7" w:tplc="14090003" w:tentative="1">
      <w:start w:val="1"/>
      <w:numFmt w:val="bullet"/>
      <w:lvlText w:val="o"/>
      <w:lvlJc w:val="left"/>
      <w:pPr>
        <w:ind w:left="6474" w:hanging="360"/>
      </w:pPr>
      <w:rPr>
        <w:rFonts w:ascii="Courier New" w:hAnsi="Courier New" w:cs="Courier New" w:hint="default"/>
      </w:rPr>
    </w:lvl>
    <w:lvl w:ilvl="8" w:tplc="14090005" w:tentative="1">
      <w:start w:val="1"/>
      <w:numFmt w:val="bullet"/>
      <w:lvlText w:val=""/>
      <w:lvlJc w:val="left"/>
      <w:pPr>
        <w:ind w:left="7194" w:hanging="360"/>
      </w:pPr>
      <w:rPr>
        <w:rFonts w:ascii="Wingdings" w:hAnsi="Wingdings" w:hint="default"/>
      </w:rPr>
    </w:lvl>
  </w:abstractNum>
  <w:abstractNum w:abstractNumId="11" w15:restartNumberingAfterBreak="0">
    <w:nsid w:val="32645C92"/>
    <w:multiLevelType w:val="multilevel"/>
    <w:tmpl w:val="3DDEE6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6F93EAF"/>
    <w:multiLevelType w:val="multilevel"/>
    <w:tmpl w:val="ECDEAA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7A91863"/>
    <w:multiLevelType w:val="hybridMultilevel"/>
    <w:tmpl w:val="3C84E2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AF3C52"/>
    <w:multiLevelType w:val="hybridMultilevel"/>
    <w:tmpl w:val="BC06BDAE"/>
    <w:lvl w:ilvl="0" w:tplc="1409001B">
      <w:start w:val="1"/>
      <w:numFmt w:val="lowerRoman"/>
      <w:lvlText w:val="%1."/>
      <w:lvlJc w:val="righ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3ABC7230"/>
    <w:multiLevelType w:val="hybridMultilevel"/>
    <w:tmpl w:val="E3ACF70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D4677F7"/>
    <w:multiLevelType w:val="hybridMultilevel"/>
    <w:tmpl w:val="1E806940"/>
    <w:lvl w:ilvl="0" w:tplc="14090001">
      <w:start w:val="1"/>
      <w:numFmt w:val="bullet"/>
      <w:lvlText w:val=""/>
      <w:lvlJc w:val="left"/>
      <w:pPr>
        <w:ind w:left="717" w:hanging="360"/>
      </w:pPr>
      <w:rPr>
        <w:rFonts w:ascii="Symbol" w:hAnsi="Symbol" w:hint="default"/>
      </w:rPr>
    </w:lvl>
    <w:lvl w:ilvl="1" w:tplc="14090019">
      <w:start w:val="1"/>
      <w:numFmt w:val="lowerLetter"/>
      <w:lvlText w:val="%2."/>
      <w:lvlJc w:val="left"/>
      <w:pPr>
        <w:ind w:left="1437" w:hanging="360"/>
      </w:pPr>
    </w:lvl>
    <w:lvl w:ilvl="2" w:tplc="1409001B" w:tentative="1">
      <w:start w:val="1"/>
      <w:numFmt w:val="lowerRoman"/>
      <w:lvlText w:val="%3."/>
      <w:lvlJc w:val="right"/>
      <w:pPr>
        <w:ind w:left="2157" w:hanging="180"/>
      </w:pPr>
    </w:lvl>
    <w:lvl w:ilvl="3" w:tplc="1409000F" w:tentative="1">
      <w:start w:val="1"/>
      <w:numFmt w:val="decimal"/>
      <w:lvlText w:val="%4."/>
      <w:lvlJc w:val="left"/>
      <w:pPr>
        <w:ind w:left="2877" w:hanging="360"/>
      </w:pPr>
    </w:lvl>
    <w:lvl w:ilvl="4" w:tplc="14090019" w:tentative="1">
      <w:start w:val="1"/>
      <w:numFmt w:val="lowerLetter"/>
      <w:lvlText w:val="%5."/>
      <w:lvlJc w:val="left"/>
      <w:pPr>
        <w:ind w:left="3597" w:hanging="360"/>
      </w:pPr>
    </w:lvl>
    <w:lvl w:ilvl="5" w:tplc="1409001B" w:tentative="1">
      <w:start w:val="1"/>
      <w:numFmt w:val="lowerRoman"/>
      <w:lvlText w:val="%6."/>
      <w:lvlJc w:val="right"/>
      <w:pPr>
        <w:ind w:left="4317" w:hanging="180"/>
      </w:pPr>
    </w:lvl>
    <w:lvl w:ilvl="6" w:tplc="1409000F" w:tentative="1">
      <w:start w:val="1"/>
      <w:numFmt w:val="decimal"/>
      <w:lvlText w:val="%7."/>
      <w:lvlJc w:val="left"/>
      <w:pPr>
        <w:ind w:left="5037" w:hanging="360"/>
      </w:pPr>
    </w:lvl>
    <w:lvl w:ilvl="7" w:tplc="14090019" w:tentative="1">
      <w:start w:val="1"/>
      <w:numFmt w:val="lowerLetter"/>
      <w:lvlText w:val="%8."/>
      <w:lvlJc w:val="left"/>
      <w:pPr>
        <w:ind w:left="5757" w:hanging="360"/>
      </w:pPr>
    </w:lvl>
    <w:lvl w:ilvl="8" w:tplc="1409001B" w:tentative="1">
      <w:start w:val="1"/>
      <w:numFmt w:val="lowerRoman"/>
      <w:lvlText w:val="%9."/>
      <w:lvlJc w:val="right"/>
      <w:pPr>
        <w:ind w:left="6477" w:hanging="180"/>
      </w:pPr>
    </w:lvl>
  </w:abstractNum>
  <w:abstractNum w:abstractNumId="17" w15:restartNumberingAfterBreak="0">
    <w:nsid w:val="3E4058B5"/>
    <w:multiLevelType w:val="multilevel"/>
    <w:tmpl w:val="CD6C4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0D327EB"/>
    <w:multiLevelType w:val="hybridMultilevel"/>
    <w:tmpl w:val="453C9680"/>
    <w:lvl w:ilvl="0" w:tplc="1409000F">
      <w:start w:val="1"/>
      <w:numFmt w:val="decimal"/>
      <w:lvlText w:val="%1."/>
      <w:lvlJc w:val="left"/>
      <w:pPr>
        <w:ind w:left="360" w:hanging="360"/>
      </w:pPr>
    </w:lvl>
    <w:lvl w:ilvl="1" w:tplc="1409001B">
      <w:start w:val="1"/>
      <w:numFmt w:val="lowerRoman"/>
      <w:lvlText w:val="%2."/>
      <w:lvlJc w:val="right"/>
      <w:pPr>
        <w:ind w:left="1080" w:hanging="360"/>
      </w:pPr>
    </w:lvl>
    <w:lvl w:ilvl="2" w:tplc="14090015">
      <w:start w:val="1"/>
      <w:numFmt w:val="upperLetter"/>
      <w:lvlText w:val="%3."/>
      <w:lvlJc w:val="lef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9" w15:restartNumberingAfterBreak="0">
    <w:nsid w:val="42556717"/>
    <w:multiLevelType w:val="hybridMultilevel"/>
    <w:tmpl w:val="3168CE0C"/>
    <w:lvl w:ilvl="0" w:tplc="1409000F">
      <w:start w:val="1"/>
      <w:numFmt w:val="decimal"/>
      <w:lvlText w:val="%1."/>
      <w:lvlJc w:val="left"/>
      <w:pPr>
        <w:ind w:left="360" w:hanging="360"/>
      </w:pPr>
    </w:lvl>
    <w:lvl w:ilvl="1" w:tplc="14090015">
      <w:start w:val="1"/>
      <w:numFmt w:val="upperLetter"/>
      <w:lvlText w:val="%2."/>
      <w:lvlJc w:val="left"/>
      <w:pPr>
        <w:ind w:left="1080" w:hanging="360"/>
      </w:pPr>
    </w:lvl>
    <w:lvl w:ilvl="2" w:tplc="1409001B">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0" w15:restartNumberingAfterBreak="0">
    <w:nsid w:val="4639405D"/>
    <w:multiLevelType w:val="hybridMultilevel"/>
    <w:tmpl w:val="1A34ABC8"/>
    <w:lvl w:ilvl="0" w:tplc="0C09000F">
      <w:start w:val="1"/>
      <w:numFmt w:val="decimal"/>
      <w:lvlText w:val="%1."/>
      <w:lvlJc w:val="left"/>
      <w:pPr>
        <w:ind w:left="644" w:hanging="360"/>
      </w:pPr>
    </w:lvl>
    <w:lvl w:ilvl="1" w:tplc="1009000F">
      <w:start w:val="1"/>
      <w:numFmt w:val="decimal"/>
      <w:lvlText w:val="%2."/>
      <w:lvlJc w:val="left"/>
      <w:pPr>
        <w:ind w:left="1364" w:hanging="360"/>
      </w:pPr>
      <w:rPr>
        <w:rFonts w:hint="default"/>
      </w:r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21" w15:restartNumberingAfterBreak="0">
    <w:nsid w:val="517B11F9"/>
    <w:multiLevelType w:val="hybridMultilevel"/>
    <w:tmpl w:val="6900C3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15:restartNumberingAfterBreak="0">
    <w:nsid w:val="533E3FC4"/>
    <w:multiLevelType w:val="hybridMultilevel"/>
    <w:tmpl w:val="DF344B9C"/>
    <w:lvl w:ilvl="0" w:tplc="1409000F">
      <w:start w:val="1"/>
      <w:numFmt w:val="decimal"/>
      <w:lvlText w:val="%1."/>
      <w:lvlJc w:val="left"/>
      <w:pPr>
        <w:ind w:left="720" w:hanging="360"/>
      </w:pPr>
      <w:rPr>
        <w:rFonts w:hint="default"/>
      </w:rPr>
    </w:lvl>
    <w:lvl w:ilvl="1" w:tplc="14090019">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15:restartNumberingAfterBreak="0">
    <w:nsid w:val="553341F1"/>
    <w:multiLevelType w:val="hybridMultilevel"/>
    <w:tmpl w:val="D57C73EE"/>
    <w:lvl w:ilvl="0" w:tplc="14090001">
      <w:start w:val="1"/>
      <w:numFmt w:val="bullet"/>
      <w:lvlText w:val=""/>
      <w:lvlJc w:val="left"/>
      <w:pPr>
        <w:ind w:left="1156" w:hanging="360"/>
      </w:pPr>
      <w:rPr>
        <w:rFonts w:ascii="Symbol" w:hAnsi="Symbol" w:hint="default"/>
      </w:rPr>
    </w:lvl>
    <w:lvl w:ilvl="1" w:tplc="14090003">
      <w:start w:val="1"/>
      <w:numFmt w:val="bullet"/>
      <w:lvlText w:val="o"/>
      <w:lvlJc w:val="left"/>
      <w:pPr>
        <w:ind w:left="1876" w:hanging="360"/>
      </w:pPr>
      <w:rPr>
        <w:rFonts w:ascii="Courier New" w:hAnsi="Courier New" w:cs="Courier New" w:hint="default"/>
      </w:rPr>
    </w:lvl>
    <w:lvl w:ilvl="2" w:tplc="14090005" w:tentative="1">
      <w:start w:val="1"/>
      <w:numFmt w:val="bullet"/>
      <w:lvlText w:val=""/>
      <w:lvlJc w:val="left"/>
      <w:pPr>
        <w:ind w:left="2596" w:hanging="360"/>
      </w:pPr>
      <w:rPr>
        <w:rFonts w:ascii="Wingdings" w:hAnsi="Wingdings" w:hint="default"/>
      </w:rPr>
    </w:lvl>
    <w:lvl w:ilvl="3" w:tplc="14090001" w:tentative="1">
      <w:start w:val="1"/>
      <w:numFmt w:val="bullet"/>
      <w:lvlText w:val=""/>
      <w:lvlJc w:val="left"/>
      <w:pPr>
        <w:ind w:left="3316" w:hanging="360"/>
      </w:pPr>
      <w:rPr>
        <w:rFonts w:ascii="Symbol" w:hAnsi="Symbol" w:hint="default"/>
      </w:rPr>
    </w:lvl>
    <w:lvl w:ilvl="4" w:tplc="14090003" w:tentative="1">
      <w:start w:val="1"/>
      <w:numFmt w:val="bullet"/>
      <w:lvlText w:val="o"/>
      <w:lvlJc w:val="left"/>
      <w:pPr>
        <w:ind w:left="4036" w:hanging="360"/>
      </w:pPr>
      <w:rPr>
        <w:rFonts w:ascii="Courier New" w:hAnsi="Courier New" w:cs="Courier New" w:hint="default"/>
      </w:rPr>
    </w:lvl>
    <w:lvl w:ilvl="5" w:tplc="14090005" w:tentative="1">
      <w:start w:val="1"/>
      <w:numFmt w:val="bullet"/>
      <w:lvlText w:val=""/>
      <w:lvlJc w:val="left"/>
      <w:pPr>
        <w:ind w:left="4756" w:hanging="360"/>
      </w:pPr>
      <w:rPr>
        <w:rFonts w:ascii="Wingdings" w:hAnsi="Wingdings" w:hint="default"/>
      </w:rPr>
    </w:lvl>
    <w:lvl w:ilvl="6" w:tplc="14090001" w:tentative="1">
      <w:start w:val="1"/>
      <w:numFmt w:val="bullet"/>
      <w:lvlText w:val=""/>
      <w:lvlJc w:val="left"/>
      <w:pPr>
        <w:ind w:left="5476" w:hanging="360"/>
      </w:pPr>
      <w:rPr>
        <w:rFonts w:ascii="Symbol" w:hAnsi="Symbol" w:hint="default"/>
      </w:rPr>
    </w:lvl>
    <w:lvl w:ilvl="7" w:tplc="14090003" w:tentative="1">
      <w:start w:val="1"/>
      <w:numFmt w:val="bullet"/>
      <w:lvlText w:val="o"/>
      <w:lvlJc w:val="left"/>
      <w:pPr>
        <w:ind w:left="6196" w:hanging="360"/>
      </w:pPr>
      <w:rPr>
        <w:rFonts w:ascii="Courier New" w:hAnsi="Courier New" w:cs="Courier New" w:hint="default"/>
      </w:rPr>
    </w:lvl>
    <w:lvl w:ilvl="8" w:tplc="14090005" w:tentative="1">
      <w:start w:val="1"/>
      <w:numFmt w:val="bullet"/>
      <w:lvlText w:val=""/>
      <w:lvlJc w:val="left"/>
      <w:pPr>
        <w:ind w:left="6916" w:hanging="360"/>
      </w:pPr>
      <w:rPr>
        <w:rFonts w:ascii="Wingdings" w:hAnsi="Wingdings" w:hint="default"/>
      </w:rPr>
    </w:lvl>
  </w:abstractNum>
  <w:abstractNum w:abstractNumId="24" w15:restartNumberingAfterBreak="0">
    <w:nsid w:val="56A25D3C"/>
    <w:multiLevelType w:val="hybridMultilevel"/>
    <w:tmpl w:val="39781592"/>
    <w:lvl w:ilvl="0" w:tplc="1409000F">
      <w:start w:val="1"/>
      <w:numFmt w:val="decimal"/>
      <w:lvlText w:val="%1."/>
      <w:lvlJc w:val="left"/>
      <w:pPr>
        <w:ind w:left="360" w:hanging="360"/>
      </w:pPr>
    </w:lvl>
    <w:lvl w:ilvl="1" w:tplc="1409001B">
      <w:start w:val="1"/>
      <w:numFmt w:val="lowerRoman"/>
      <w:lvlText w:val="%2."/>
      <w:lvlJc w:val="right"/>
      <w:pPr>
        <w:ind w:left="1080" w:hanging="360"/>
      </w:pPr>
    </w:lvl>
    <w:lvl w:ilvl="2" w:tplc="14090019">
      <w:start w:val="1"/>
      <w:numFmt w:val="lowerLetter"/>
      <w:lvlText w:val="%3."/>
      <w:lvlJc w:val="lef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25" w15:restartNumberingAfterBreak="0">
    <w:nsid w:val="6805431F"/>
    <w:multiLevelType w:val="multilevel"/>
    <w:tmpl w:val="90242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935520A"/>
    <w:multiLevelType w:val="hybridMultilevel"/>
    <w:tmpl w:val="29FE3C84"/>
    <w:lvl w:ilvl="0" w:tplc="14090019">
      <w:start w:val="1"/>
      <w:numFmt w:val="lowerLetter"/>
      <w:lvlText w:val="%1."/>
      <w:lvlJc w:val="left"/>
      <w:pPr>
        <w:ind w:left="1440" w:hanging="360"/>
      </w:p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27" w15:restartNumberingAfterBreak="0">
    <w:nsid w:val="6CAE197B"/>
    <w:multiLevelType w:val="multilevel"/>
    <w:tmpl w:val="96782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3607ABE"/>
    <w:multiLevelType w:val="hybridMultilevel"/>
    <w:tmpl w:val="3D0C7AEE"/>
    <w:lvl w:ilvl="0" w:tplc="1409000F">
      <w:start w:val="1"/>
      <w:numFmt w:val="decimal"/>
      <w:lvlText w:val="%1."/>
      <w:lvlJc w:val="left"/>
      <w:pPr>
        <w:ind w:left="1080" w:hanging="360"/>
      </w:pPr>
    </w:lvl>
    <w:lvl w:ilvl="1" w:tplc="14090019" w:tentative="1">
      <w:start w:val="1"/>
      <w:numFmt w:val="lowerLetter"/>
      <w:lvlText w:val="%2."/>
      <w:lvlJc w:val="left"/>
      <w:pPr>
        <w:ind w:left="1800" w:hanging="360"/>
      </w:pPr>
    </w:lvl>
    <w:lvl w:ilvl="2" w:tplc="1409001B" w:tentative="1">
      <w:start w:val="1"/>
      <w:numFmt w:val="lowerRoman"/>
      <w:lvlText w:val="%3."/>
      <w:lvlJc w:val="right"/>
      <w:pPr>
        <w:ind w:left="2520" w:hanging="180"/>
      </w:pPr>
    </w:lvl>
    <w:lvl w:ilvl="3" w:tplc="1409000F" w:tentative="1">
      <w:start w:val="1"/>
      <w:numFmt w:val="decimal"/>
      <w:lvlText w:val="%4."/>
      <w:lvlJc w:val="left"/>
      <w:pPr>
        <w:ind w:left="3240" w:hanging="360"/>
      </w:pPr>
    </w:lvl>
    <w:lvl w:ilvl="4" w:tplc="14090019" w:tentative="1">
      <w:start w:val="1"/>
      <w:numFmt w:val="lowerLetter"/>
      <w:lvlText w:val="%5."/>
      <w:lvlJc w:val="left"/>
      <w:pPr>
        <w:ind w:left="3960" w:hanging="360"/>
      </w:pPr>
    </w:lvl>
    <w:lvl w:ilvl="5" w:tplc="1409001B" w:tentative="1">
      <w:start w:val="1"/>
      <w:numFmt w:val="lowerRoman"/>
      <w:lvlText w:val="%6."/>
      <w:lvlJc w:val="right"/>
      <w:pPr>
        <w:ind w:left="4680" w:hanging="180"/>
      </w:pPr>
    </w:lvl>
    <w:lvl w:ilvl="6" w:tplc="1409000F" w:tentative="1">
      <w:start w:val="1"/>
      <w:numFmt w:val="decimal"/>
      <w:lvlText w:val="%7."/>
      <w:lvlJc w:val="left"/>
      <w:pPr>
        <w:ind w:left="5400" w:hanging="360"/>
      </w:pPr>
    </w:lvl>
    <w:lvl w:ilvl="7" w:tplc="14090019" w:tentative="1">
      <w:start w:val="1"/>
      <w:numFmt w:val="lowerLetter"/>
      <w:lvlText w:val="%8."/>
      <w:lvlJc w:val="left"/>
      <w:pPr>
        <w:ind w:left="6120" w:hanging="360"/>
      </w:pPr>
    </w:lvl>
    <w:lvl w:ilvl="8" w:tplc="1409001B" w:tentative="1">
      <w:start w:val="1"/>
      <w:numFmt w:val="lowerRoman"/>
      <w:lvlText w:val="%9."/>
      <w:lvlJc w:val="right"/>
      <w:pPr>
        <w:ind w:left="6840" w:hanging="180"/>
      </w:pPr>
    </w:lvl>
  </w:abstractNum>
  <w:abstractNum w:abstractNumId="29" w15:restartNumberingAfterBreak="0">
    <w:nsid w:val="73D1780D"/>
    <w:multiLevelType w:val="hybridMultilevel"/>
    <w:tmpl w:val="B288BE3E"/>
    <w:lvl w:ilvl="0" w:tplc="1409000F">
      <w:start w:val="1"/>
      <w:numFmt w:val="decimal"/>
      <w:lvlText w:val="%1."/>
      <w:lvlJc w:val="left"/>
      <w:pPr>
        <w:ind w:left="360" w:hanging="360"/>
      </w:pPr>
    </w:lvl>
    <w:lvl w:ilvl="1" w:tplc="14090015">
      <w:start w:val="1"/>
      <w:numFmt w:val="upperLetter"/>
      <w:lvlText w:val="%2."/>
      <w:lvlJc w:val="left"/>
      <w:pPr>
        <w:ind w:left="1080" w:hanging="360"/>
      </w:pPr>
    </w:lvl>
    <w:lvl w:ilvl="2" w:tplc="CA2A2E9C">
      <w:start w:val="1"/>
      <w:numFmt w:val="upperLetter"/>
      <w:lvlText w:val="%3."/>
      <w:lvlJc w:val="left"/>
      <w:pPr>
        <w:ind w:left="1800" w:hanging="180"/>
      </w:pPr>
      <w:rPr>
        <w:rFonts w:hint="default"/>
      </w:r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30" w15:restartNumberingAfterBreak="0">
    <w:nsid w:val="743C6A90"/>
    <w:multiLevelType w:val="multilevel"/>
    <w:tmpl w:val="A2F07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B594CB1"/>
    <w:multiLevelType w:val="hybridMultilevel"/>
    <w:tmpl w:val="EC2A885C"/>
    <w:lvl w:ilvl="0" w:tplc="1409000F">
      <w:start w:val="1"/>
      <w:numFmt w:val="decimal"/>
      <w:lvlText w:val="%1."/>
      <w:lvlJc w:val="left"/>
      <w:pPr>
        <w:ind w:left="360" w:hanging="360"/>
      </w:pPr>
    </w:lvl>
    <w:lvl w:ilvl="1" w:tplc="14090019">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num w:numId="1">
    <w:abstractNumId w:val="20"/>
  </w:num>
  <w:num w:numId="2">
    <w:abstractNumId w:val="31"/>
  </w:num>
  <w:num w:numId="3">
    <w:abstractNumId w:val="1"/>
  </w:num>
  <w:num w:numId="4">
    <w:abstractNumId w:val="22"/>
  </w:num>
  <w:num w:numId="5">
    <w:abstractNumId w:val="26"/>
  </w:num>
  <w:num w:numId="6">
    <w:abstractNumId w:val="28"/>
  </w:num>
  <w:num w:numId="7">
    <w:abstractNumId w:val="19"/>
  </w:num>
  <w:num w:numId="8">
    <w:abstractNumId w:val="2"/>
  </w:num>
  <w:num w:numId="9">
    <w:abstractNumId w:val="4"/>
  </w:num>
  <w:num w:numId="10">
    <w:abstractNumId w:val="18"/>
  </w:num>
  <w:num w:numId="11">
    <w:abstractNumId w:val="8"/>
  </w:num>
  <w:num w:numId="12">
    <w:abstractNumId w:val="24"/>
  </w:num>
  <w:num w:numId="13">
    <w:abstractNumId w:val="29"/>
  </w:num>
  <w:num w:numId="14">
    <w:abstractNumId w:val="3"/>
  </w:num>
  <w:num w:numId="15">
    <w:abstractNumId w:val="16"/>
  </w:num>
  <w:num w:numId="16">
    <w:abstractNumId w:val="23"/>
  </w:num>
  <w:num w:numId="17">
    <w:abstractNumId w:val="21"/>
  </w:num>
  <w:num w:numId="18">
    <w:abstractNumId w:val="5"/>
  </w:num>
  <w:num w:numId="19">
    <w:abstractNumId w:val="10"/>
  </w:num>
  <w:num w:numId="20">
    <w:abstractNumId w:val="15"/>
  </w:num>
  <w:num w:numId="21">
    <w:abstractNumId w:val="0"/>
  </w:num>
  <w:num w:numId="22">
    <w:abstractNumId w:val="14"/>
  </w:num>
  <w:num w:numId="23">
    <w:abstractNumId w:val="13"/>
  </w:num>
  <w:num w:numId="24">
    <w:abstractNumId w:val="12"/>
  </w:num>
  <w:num w:numId="25">
    <w:abstractNumId w:val="30"/>
  </w:num>
  <w:num w:numId="26">
    <w:abstractNumId w:val="17"/>
  </w:num>
  <w:num w:numId="27">
    <w:abstractNumId w:val="6"/>
  </w:num>
  <w:num w:numId="28">
    <w:abstractNumId w:val="25"/>
  </w:num>
  <w:num w:numId="29">
    <w:abstractNumId w:val="11"/>
  </w:num>
  <w:num w:numId="30">
    <w:abstractNumId w:val="27"/>
  </w:num>
  <w:num w:numId="31">
    <w:abstractNumId w:val="9"/>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drawingGridHorizontalSpacing w:val="90"/>
  <w:displayHorizontalDrawingGridEvery w:val="2"/>
  <w:displayVerticalDrawingGridEvery w:val="2"/>
  <w:noPunctuationKerning/>
  <w:characterSpacingControl w:val="doNotCompress"/>
  <w:hdrShapeDefaults>
    <o:shapedefaults v:ext="edit" spidmax="2049"/>
  </w:hdrShapeDefaults>
  <w:footnotePr>
    <w:numRestart w:val="eachSect"/>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7255"/>
    <w:rsid w:val="00001D4D"/>
    <w:rsid w:val="00020543"/>
    <w:rsid w:val="00021DD3"/>
    <w:rsid w:val="000227CF"/>
    <w:rsid w:val="000322B2"/>
    <w:rsid w:val="0003462A"/>
    <w:rsid w:val="000361F6"/>
    <w:rsid w:val="00037533"/>
    <w:rsid w:val="00037A70"/>
    <w:rsid w:val="00041178"/>
    <w:rsid w:val="00046AF1"/>
    <w:rsid w:val="00051AC1"/>
    <w:rsid w:val="00062F96"/>
    <w:rsid w:val="00064F66"/>
    <w:rsid w:val="00071E78"/>
    <w:rsid w:val="00072CFA"/>
    <w:rsid w:val="00074FC1"/>
    <w:rsid w:val="0008012A"/>
    <w:rsid w:val="00080360"/>
    <w:rsid w:val="000816A7"/>
    <w:rsid w:val="000833E0"/>
    <w:rsid w:val="000877CA"/>
    <w:rsid w:val="00087F6F"/>
    <w:rsid w:val="000919C2"/>
    <w:rsid w:val="00091F49"/>
    <w:rsid w:val="00092D8A"/>
    <w:rsid w:val="000A6C04"/>
    <w:rsid w:val="000B7B76"/>
    <w:rsid w:val="000C1377"/>
    <w:rsid w:val="000C192D"/>
    <w:rsid w:val="000C4114"/>
    <w:rsid w:val="000D1F39"/>
    <w:rsid w:val="000D6D92"/>
    <w:rsid w:val="000D7972"/>
    <w:rsid w:val="000E0FF5"/>
    <w:rsid w:val="000E131D"/>
    <w:rsid w:val="000F505B"/>
    <w:rsid w:val="000F564D"/>
    <w:rsid w:val="00105CBA"/>
    <w:rsid w:val="001107BC"/>
    <w:rsid w:val="001108E9"/>
    <w:rsid w:val="00116213"/>
    <w:rsid w:val="00116358"/>
    <w:rsid w:val="00116B5E"/>
    <w:rsid w:val="0012374C"/>
    <w:rsid w:val="0012699C"/>
    <w:rsid w:val="00131BE8"/>
    <w:rsid w:val="001333CA"/>
    <w:rsid w:val="0013786E"/>
    <w:rsid w:val="00146B71"/>
    <w:rsid w:val="0015477B"/>
    <w:rsid w:val="00167D49"/>
    <w:rsid w:val="00170C4F"/>
    <w:rsid w:val="00174B00"/>
    <w:rsid w:val="001755AF"/>
    <w:rsid w:val="0017697B"/>
    <w:rsid w:val="00180920"/>
    <w:rsid w:val="00187334"/>
    <w:rsid w:val="00191FB7"/>
    <w:rsid w:val="001A2596"/>
    <w:rsid w:val="001C3B18"/>
    <w:rsid w:val="001C5730"/>
    <w:rsid w:val="001D5DB5"/>
    <w:rsid w:val="001E1251"/>
    <w:rsid w:val="001E4FB5"/>
    <w:rsid w:val="001F0CBC"/>
    <w:rsid w:val="001F4DF7"/>
    <w:rsid w:val="002012B3"/>
    <w:rsid w:val="0020681C"/>
    <w:rsid w:val="002166A7"/>
    <w:rsid w:val="00224205"/>
    <w:rsid w:val="00225784"/>
    <w:rsid w:val="00234379"/>
    <w:rsid w:val="002344A2"/>
    <w:rsid w:val="002409C1"/>
    <w:rsid w:val="00240EF6"/>
    <w:rsid w:val="00243317"/>
    <w:rsid w:val="002442C4"/>
    <w:rsid w:val="00250C8F"/>
    <w:rsid w:val="00253F6C"/>
    <w:rsid w:val="00254AFA"/>
    <w:rsid w:val="00255595"/>
    <w:rsid w:val="00256415"/>
    <w:rsid w:val="002621C4"/>
    <w:rsid w:val="00265D47"/>
    <w:rsid w:val="00271E1B"/>
    <w:rsid w:val="002720AE"/>
    <w:rsid w:val="00272A52"/>
    <w:rsid w:val="00276100"/>
    <w:rsid w:val="002767E8"/>
    <w:rsid w:val="00286EDD"/>
    <w:rsid w:val="00287B36"/>
    <w:rsid w:val="00294AB5"/>
    <w:rsid w:val="00296279"/>
    <w:rsid w:val="002A487F"/>
    <w:rsid w:val="002A4AAE"/>
    <w:rsid w:val="002A4CCF"/>
    <w:rsid w:val="002B3D55"/>
    <w:rsid w:val="002B3DA6"/>
    <w:rsid w:val="002B6954"/>
    <w:rsid w:val="002C0C05"/>
    <w:rsid w:val="002C4077"/>
    <w:rsid w:val="002C5AEE"/>
    <w:rsid w:val="002D3579"/>
    <w:rsid w:val="002D466E"/>
    <w:rsid w:val="002E3F52"/>
    <w:rsid w:val="002E4B48"/>
    <w:rsid w:val="002E6DEB"/>
    <w:rsid w:val="002F0B4A"/>
    <w:rsid w:val="002F15C9"/>
    <w:rsid w:val="002F2CBB"/>
    <w:rsid w:val="002F5EF3"/>
    <w:rsid w:val="0030194A"/>
    <w:rsid w:val="00301E34"/>
    <w:rsid w:val="0030361A"/>
    <w:rsid w:val="003129AC"/>
    <w:rsid w:val="0032708C"/>
    <w:rsid w:val="00330A0B"/>
    <w:rsid w:val="003328BD"/>
    <w:rsid w:val="00337ACC"/>
    <w:rsid w:val="00344B9F"/>
    <w:rsid w:val="0035001B"/>
    <w:rsid w:val="00351A32"/>
    <w:rsid w:val="00357A13"/>
    <w:rsid w:val="00363F9A"/>
    <w:rsid w:val="003661B2"/>
    <w:rsid w:val="00366B9C"/>
    <w:rsid w:val="003745A0"/>
    <w:rsid w:val="00376938"/>
    <w:rsid w:val="00377BF9"/>
    <w:rsid w:val="0038109E"/>
    <w:rsid w:val="003876AA"/>
    <w:rsid w:val="003930D3"/>
    <w:rsid w:val="003A40E6"/>
    <w:rsid w:val="003A63DB"/>
    <w:rsid w:val="003A6489"/>
    <w:rsid w:val="003A75F7"/>
    <w:rsid w:val="003B0D01"/>
    <w:rsid w:val="003B0E21"/>
    <w:rsid w:val="003B17D0"/>
    <w:rsid w:val="003B2957"/>
    <w:rsid w:val="003B3359"/>
    <w:rsid w:val="003B5ED7"/>
    <w:rsid w:val="003B6AD7"/>
    <w:rsid w:val="003C4C73"/>
    <w:rsid w:val="003D4BF1"/>
    <w:rsid w:val="003D6C17"/>
    <w:rsid w:val="003D7B54"/>
    <w:rsid w:val="003E06FD"/>
    <w:rsid w:val="003E079C"/>
    <w:rsid w:val="003F54E7"/>
    <w:rsid w:val="00400450"/>
    <w:rsid w:val="00401CFF"/>
    <w:rsid w:val="00403E70"/>
    <w:rsid w:val="004046AC"/>
    <w:rsid w:val="00404F4B"/>
    <w:rsid w:val="004053A1"/>
    <w:rsid w:val="004062B1"/>
    <w:rsid w:val="00414866"/>
    <w:rsid w:val="004255BC"/>
    <w:rsid w:val="004256D3"/>
    <w:rsid w:val="00426D7C"/>
    <w:rsid w:val="0043248A"/>
    <w:rsid w:val="00446623"/>
    <w:rsid w:val="00450AA1"/>
    <w:rsid w:val="004518C9"/>
    <w:rsid w:val="004542B7"/>
    <w:rsid w:val="004617B4"/>
    <w:rsid w:val="0046225B"/>
    <w:rsid w:val="004635A3"/>
    <w:rsid w:val="00463B6D"/>
    <w:rsid w:val="00470AF2"/>
    <w:rsid w:val="00473791"/>
    <w:rsid w:val="004765E4"/>
    <w:rsid w:val="00476F3F"/>
    <w:rsid w:val="004806C7"/>
    <w:rsid w:val="0048330F"/>
    <w:rsid w:val="004868E5"/>
    <w:rsid w:val="00487E67"/>
    <w:rsid w:val="004900E3"/>
    <w:rsid w:val="004937D0"/>
    <w:rsid w:val="004B0662"/>
    <w:rsid w:val="004B25BE"/>
    <w:rsid w:val="004B2C59"/>
    <w:rsid w:val="004B5665"/>
    <w:rsid w:val="004B7D08"/>
    <w:rsid w:val="004C5DAC"/>
    <w:rsid w:val="004D0B0C"/>
    <w:rsid w:val="004D1B31"/>
    <w:rsid w:val="004D2B7F"/>
    <w:rsid w:val="004E6190"/>
    <w:rsid w:val="0050396B"/>
    <w:rsid w:val="00511B66"/>
    <w:rsid w:val="00526C65"/>
    <w:rsid w:val="00532D80"/>
    <w:rsid w:val="00537BC7"/>
    <w:rsid w:val="00541562"/>
    <w:rsid w:val="0054176D"/>
    <w:rsid w:val="00544090"/>
    <w:rsid w:val="00545996"/>
    <w:rsid w:val="00546BE8"/>
    <w:rsid w:val="0054730E"/>
    <w:rsid w:val="00552D0D"/>
    <w:rsid w:val="00553B04"/>
    <w:rsid w:val="00555D92"/>
    <w:rsid w:val="0056247B"/>
    <w:rsid w:val="00563687"/>
    <w:rsid w:val="0056476D"/>
    <w:rsid w:val="00565AE5"/>
    <w:rsid w:val="0056724D"/>
    <w:rsid w:val="0057020B"/>
    <w:rsid w:val="00572679"/>
    <w:rsid w:val="0057298E"/>
    <w:rsid w:val="005923FC"/>
    <w:rsid w:val="00596617"/>
    <w:rsid w:val="00597461"/>
    <w:rsid w:val="005A20AF"/>
    <w:rsid w:val="005A4309"/>
    <w:rsid w:val="005A4C84"/>
    <w:rsid w:val="005A5A93"/>
    <w:rsid w:val="005A5FE0"/>
    <w:rsid w:val="005B039D"/>
    <w:rsid w:val="005B40BF"/>
    <w:rsid w:val="005B6613"/>
    <w:rsid w:val="005C2EEA"/>
    <w:rsid w:val="005D2B02"/>
    <w:rsid w:val="005D41BE"/>
    <w:rsid w:val="005E2DE5"/>
    <w:rsid w:val="005E43B7"/>
    <w:rsid w:val="005E4766"/>
    <w:rsid w:val="005E675B"/>
    <w:rsid w:val="005F0CD2"/>
    <w:rsid w:val="005F4EA8"/>
    <w:rsid w:val="0060509E"/>
    <w:rsid w:val="00620A5E"/>
    <w:rsid w:val="006221C1"/>
    <w:rsid w:val="00624878"/>
    <w:rsid w:val="0062684A"/>
    <w:rsid w:val="00627255"/>
    <w:rsid w:val="0062737F"/>
    <w:rsid w:val="00627770"/>
    <w:rsid w:val="00630052"/>
    <w:rsid w:val="00630AD7"/>
    <w:rsid w:val="00637FD5"/>
    <w:rsid w:val="006432EA"/>
    <w:rsid w:val="00645FCC"/>
    <w:rsid w:val="00650C45"/>
    <w:rsid w:val="00652C82"/>
    <w:rsid w:val="0065411A"/>
    <w:rsid w:val="0065412A"/>
    <w:rsid w:val="00664D4E"/>
    <w:rsid w:val="006672C9"/>
    <w:rsid w:val="0067402A"/>
    <w:rsid w:val="00680205"/>
    <w:rsid w:val="00680E86"/>
    <w:rsid w:val="00685755"/>
    <w:rsid w:val="00687E50"/>
    <w:rsid w:val="00693005"/>
    <w:rsid w:val="00694AC0"/>
    <w:rsid w:val="006B2500"/>
    <w:rsid w:val="006D2BDA"/>
    <w:rsid w:val="006E5365"/>
    <w:rsid w:val="006F01E7"/>
    <w:rsid w:val="006F259B"/>
    <w:rsid w:val="00704246"/>
    <w:rsid w:val="00705C2F"/>
    <w:rsid w:val="0070759B"/>
    <w:rsid w:val="00711390"/>
    <w:rsid w:val="007123D1"/>
    <w:rsid w:val="00715812"/>
    <w:rsid w:val="007210DF"/>
    <w:rsid w:val="0072189D"/>
    <w:rsid w:val="00724079"/>
    <w:rsid w:val="00736494"/>
    <w:rsid w:val="00737529"/>
    <w:rsid w:val="0074347A"/>
    <w:rsid w:val="00750165"/>
    <w:rsid w:val="007563DE"/>
    <w:rsid w:val="007624AE"/>
    <w:rsid w:val="00766F6E"/>
    <w:rsid w:val="007723EE"/>
    <w:rsid w:val="007737D0"/>
    <w:rsid w:val="0077475E"/>
    <w:rsid w:val="007750FB"/>
    <w:rsid w:val="00776535"/>
    <w:rsid w:val="00781DF2"/>
    <w:rsid w:val="00783BB2"/>
    <w:rsid w:val="00787518"/>
    <w:rsid w:val="00787E44"/>
    <w:rsid w:val="00794677"/>
    <w:rsid w:val="007A0842"/>
    <w:rsid w:val="007A0CCC"/>
    <w:rsid w:val="007A2112"/>
    <w:rsid w:val="007A3D63"/>
    <w:rsid w:val="007A584D"/>
    <w:rsid w:val="007A6BE6"/>
    <w:rsid w:val="007B070A"/>
    <w:rsid w:val="007B27AA"/>
    <w:rsid w:val="007B51A2"/>
    <w:rsid w:val="007C1FB4"/>
    <w:rsid w:val="007C59FC"/>
    <w:rsid w:val="007D00C4"/>
    <w:rsid w:val="007D1EB8"/>
    <w:rsid w:val="007D28AF"/>
    <w:rsid w:val="007D2FCA"/>
    <w:rsid w:val="007D36AE"/>
    <w:rsid w:val="007D41B2"/>
    <w:rsid w:val="007D72DC"/>
    <w:rsid w:val="007E12A8"/>
    <w:rsid w:val="007E1DED"/>
    <w:rsid w:val="007E2F10"/>
    <w:rsid w:val="007E357F"/>
    <w:rsid w:val="007E6D9E"/>
    <w:rsid w:val="007F2090"/>
    <w:rsid w:val="0080548B"/>
    <w:rsid w:val="00816751"/>
    <w:rsid w:val="008261A9"/>
    <w:rsid w:val="00832787"/>
    <w:rsid w:val="00833F55"/>
    <w:rsid w:val="00834F20"/>
    <w:rsid w:val="00837C80"/>
    <w:rsid w:val="00842182"/>
    <w:rsid w:val="00844C69"/>
    <w:rsid w:val="00851641"/>
    <w:rsid w:val="00851A9B"/>
    <w:rsid w:val="00853284"/>
    <w:rsid w:val="00864103"/>
    <w:rsid w:val="00867C42"/>
    <w:rsid w:val="00876BA7"/>
    <w:rsid w:val="00882D14"/>
    <w:rsid w:val="008A4835"/>
    <w:rsid w:val="008A4BEC"/>
    <w:rsid w:val="008A76E1"/>
    <w:rsid w:val="008A7CE0"/>
    <w:rsid w:val="008B550B"/>
    <w:rsid w:val="008B620E"/>
    <w:rsid w:val="008C2900"/>
    <w:rsid w:val="008C3B16"/>
    <w:rsid w:val="008C7917"/>
    <w:rsid w:val="008D47E9"/>
    <w:rsid w:val="008D6375"/>
    <w:rsid w:val="008D6BFD"/>
    <w:rsid w:val="008D784A"/>
    <w:rsid w:val="008E4A46"/>
    <w:rsid w:val="008F0DE0"/>
    <w:rsid w:val="008F33EB"/>
    <w:rsid w:val="008F45E6"/>
    <w:rsid w:val="00905A2B"/>
    <w:rsid w:val="00907F43"/>
    <w:rsid w:val="00911318"/>
    <w:rsid w:val="0091772A"/>
    <w:rsid w:val="00921517"/>
    <w:rsid w:val="0092376D"/>
    <w:rsid w:val="0092572B"/>
    <w:rsid w:val="009265A7"/>
    <w:rsid w:val="00927351"/>
    <w:rsid w:val="00933877"/>
    <w:rsid w:val="00940FAF"/>
    <w:rsid w:val="009461B9"/>
    <w:rsid w:val="00951385"/>
    <w:rsid w:val="00954B52"/>
    <w:rsid w:val="00961CD2"/>
    <w:rsid w:val="0096299A"/>
    <w:rsid w:val="00964288"/>
    <w:rsid w:val="00964324"/>
    <w:rsid w:val="00974A1A"/>
    <w:rsid w:val="00975777"/>
    <w:rsid w:val="009775E6"/>
    <w:rsid w:val="00981864"/>
    <w:rsid w:val="00985AAB"/>
    <w:rsid w:val="009866FC"/>
    <w:rsid w:val="009905C5"/>
    <w:rsid w:val="00990D7E"/>
    <w:rsid w:val="00992C0A"/>
    <w:rsid w:val="009A0053"/>
    <w:rsid w:val="009A4AE0"/>
    <w:rsid w:val="009A61B2"/>
    <w:rsid w:val="009B5AF0"/>
    <w:rsid w:val="009B6C8B"/>
    <w:rsid w:val="009B6CCA"/>
    <w:rsid w:val="009C3C29"/>
    <w:rsid w:val="009C4DD8"/>
    <w:rsid w:val="009D29DE"/>
    <w:rsid w:val="009D3D7E"/>
    <w:rsid w:val="009D4B43"/>
    <w:rsid w:val="009D7241"/>
    <w:rsid w:val="009F0CAB"/>
    <w:rsid w:val="009F1DEC"/>
    <w:rsid w:val="009F3A64"/>
    <w:rsid w:val="00A00ECC"/>
    <w:rsid w:val="00A04D4E"/>
    <w:rsid w:val="00A0703D"/>
    <w:rsid w:val="00A07712"/>
    <w:rsid w:val="00A07E73"/>
    <w:rsid w:val="00A249EB"/>
    <w:rsid w:val="00A24CC0"/>
    <w:rsid w:val="00A36C16"/>
    <w:rsid w:val="00A41070"/>
    <w:rsid w:val="00A41F00"/>
    <w:rsid w:val="00A44FBC"/>
    <w:rsid w:val="00A478F2"/>
    <w:rsid w:val="00A47A63"/>
    <w:rsid w:val="00A549E7"/>
    <w:rsid w:val="00A57B3B"/>
    <w:rsid w:val="00A61BCB"/>
    <w:rsid w:val="00A64A09"/>
    <w:rsid w:val="00A6538B"/>
    <w:rsid w:val="00A65C16"/>
    <w:rsid w:val="00A65F94"/>
    <w:rsid w:val="00A678B3"/>
    <w:rsid w:val="00A7032C"/>
    <w:rsid w:val="00A72A6D"/>
    <w:rsid w:val="00A72A9D"/>
    <w:rsid w:val="00A73F6B"/>
    <w:rsid w:val="00A82F2A"/>
    <w:rsid w:val="00A83FAA"/>
    <w:rsid w:val="00A84C63"/>
    <w:rsid w:val="00A87514"/>
    <w:rsid w:val="00A91950"/>
    <w:rsid w:val="00A94B9B"/>
    <w:rsid w:val="00AA7518"/>
    <w:rsid w:val="00AA7883"/>
    <w:rsid w:val="00AB7E5C"/>
    <w:rsid w:val="00AC1769"/>
    <w:rsid w:val="00AC2078"/>
    <w:rsid w:val="00AC42D4"/>
    <w:rsid w:val="00AC671F"/>
    <w:rsid w:val="00AC72D8"/>
    <w:rsid w:val="00AD2845"/>
    <w:rsid w:val="00AD61F1"/>
    <w:rsid w:val="00AD7A76"/>
    <w:rsid w:val="00AE6B9B"/>
    <w:rsid w:val="00AF006E"/>
    <w:rsid w:val="00AF108F"/>
    <w:rsid w:val="00AF149E"/>
    <w:rsid w:val="00AF2931"/>
    <w:rsid w:val="00AF32C1"/>
    <w:rsid w:val="00AF52A1"/>
    <w:rsid w:val="00AF5FAD"/>
    <w:rsid w:val="00AF6F21"/>
    <w:rsid w:val="00AF77BB"/>
    <w:rsid w:val="00B01D79"/>
    <w:rsid w:val="00B029CE"/>
    <w:rsid w:val="00B02CA6"/>
    <w:rsid w:val="00B0560B"/>
    <w:rsid w:val="00B1246F"/>
    <w:rsid w:val="00B130E5"/>
    <w:rsid w:val="00B14AF5"/>
    <w:rsid w:val="00B15BA7"/>
    <w:rsid w:val="00B20F48"/>
    <w:rsid w:val="00B22813"/>
    <w:rsid w:val="00B243C3"/>
    <w:rsid w:val="00B2744C"/>
    <w:rsid w:val="00B32250"/>
    <w:rsid w:val="00B326E6"/>
    <w:rsid w:val="00B35669"/>
    <w:rsid w:val="00B41974"/>
    <w:rsid w:val="00B4436E"/>
    <w:rsid w:val="00B44B78"/>
    <w:rsid w:val="00B511A4"/>
    <w:rsid w:val="00B60F15"/>
    <w:rsid w:val="00B676CB"/>
    <w:rsid w:val="00B70A20"/>
    <w:rsid w:val="00B713A0"/>
    <w:rsid w:val="00B745C8"/>
    <w:rsid w:val="00B75537"/>
    <w:rsid w:val="00B7644C"/>
    <w:rsid w:val="00B769C7"/>
    <w:rsid w:val="00B835D9"/>
    <w:rsid w:val="00B84B23"/>
    <w:rsid w:val="00B8702B"/>
    <w:rsid w:val="00B92A26"/>
    <w:rsid w:val="00B96071"/>
    <w:rsid w:val="00B9667E"/>
    <w:rsid w:val="00BB13B2"/>
    <w:rsid w:val="00BB5998"/>
    <w:rsid w:val="00BC3942"/>
    <w:rsid w:val="00BC406E"/>
    <w:rsid w:val="00BD04E8"/>
    <w:rsid w:val="00BD1CDC"/>
    <w:rsid w:val="00BD3AAC"/>
    <w:rsid w:val="00BD44D1"/>
    <w:rsid w:val="00BD482E"/>
    <w:rsid w:val="00BE478F"/>
    <w:rsid w:val="00BE5E32"/>
    <w:rsid w:val="00BE611B"/>
    <w:rsid w:val="00BF17F8"/>
    <w:rsid w:val="00C0084F"/>
    <w:rsid w:val="00C02B84"/>
    <w:rsid w:val="00C11E1C"/>
    <w:rsid w:val="00C12EA6"/>
    <w:rsid w:val="00C15CB9"/>
    <w:rsid w:val="00C20C9C"/>
    <w:rsid w:val="00C35609"/>
    <w:rsid w:val="00C42A3E"/>
    <w:rsid w:val="00C47CFD"/>
    <w:rsid w:val="00C64C2E"/>
    <w:rsid w:val="00C67CEC"/>
    <w:rsid w:val="00C716F8"/>
    <w:rsid w:val="00C8099E"/>
    <w:rsid w:val="00C81C56"/>
    <w:rsid w:val="00C8275B"/>
    <w:rsid w:val="00C8398B"/>
    <w:rsid w:val="00C840CB"/>
    <w:rsid w:val="00C843B4"/>
    <w:rsid w:val="00C86919"/>
    <w:rsid w:val="00C8765D"/>
    <w:rsid w:val="00C901AB"/>
    <w:rsid w:val="00C928AA"/>
    <w:rsid w:val="00C9595D"/>
    <w:rsid w:val="00C9735E"/>
    <w:rsid w:val="00CA179A"/>
    <w:rsid w:val="00CA4B39"/>
    <w:rsid w:val="00CA7F24"/>
    <w:rsid w:val="00CB4DD0"/>
    <w:rsid w:val="00CB734A"/>
    <w:rsid w:val="00CC1C90"/>
    <w:rsid w:val="00CD4FB3"/>
    <w:rsid w:val="00CD7461"/>
    <w:rsid w:val="00CE485C"/>
    <w:rsid w:val="00CF259B"/>
    <w:rsid w:val="00CF6455"/>
    <w:rsid w:val="00D008C1"/>
    <w:rsid w:val="00D01B47"/>
    <w:rsid w:val="00D10ED7"/>
    <w:rsid w:val="00D11899"/>
    <w:rsid w:val="00D11B14"/>
    <w:rsid w:val="00D21DF6"/>
    <w:rsid w:val="00D370B1"/>
    <w:rsid w:val="00D528F9"/>
    <w:rsid w:val="00D55F14"/>
    <w:rsid w:val="00D623FD"/>
    <w:rsid w:val="00D62895"/>
    <w:rsid w:val="00D6343A"/>
    <w:rsid w:val="00D635B8"/>
    <w:rsid w:val="00D64FE6"/>
    <w:rsid w:val="00D66377"/>
    <w:rsid w:val="00D821C0"/>
    <w:rsid w:val="00D8256C"/>
    <w:rsid w:val="00D94D4A"/>
    <w:rsid w:val="00D968E6"/>
    <w:rsid w:val="00D96DC7"/>
    <w:rsid w:val="00DA3F8E"/>
    <w:rsid w:val="00DB2B81"/>
    <w:rsid w:val="00DC411B"/>
    <w:rsid w:val="00DC4EDD"/>
    <w:rsid w:val="00DC6D7D"/>
    <w:rsid w:val="00DE1DB1"/>
    <w:rsid w:val="00DE5C97"/>
    <w:rsid w:val="00DE5CA9"/>
    <w:rsid w:val="00DE60E6"/>
    <w:rsid w:val="00DF3936"/>
    <w:rsid w:val="00E012EA"/>
    <w:rsid w:val="00E02605"/>
    <w:rsid w:val="00E07850"/>
    <w:rsid w:val="00E109AF"/>
    <w:rsid w:val="00E1338C"/>
    <w:rsid w:val="00E1341C"/>
    <w:rsid w:val="00E13467"/>
    <w:rsid w:val="00E20E64"/>
    <w:rsid w:val="00E2445B"/>
    <w:rsid w:val="00E27039"/>
    <w:rsid w:val="00E31834"/>
    <w:rsid w:val="00E323DC"/>
    <w:rsid w:val="00E40972"/>
    <w:rsid w:val="00E43157"/>
    <w:rsid w:val="00E4357F"/>
    <w:rsid w:val="00E43ECD"/>
    <w:rsid w:val="00E5515F"/>
    <w:rsid w:val="00E5550D"/>
    <w:rsid w:val="00E55C59"/>
    <w:rsid w:val="00E578F9"/>
    <w:rsid w:val="00E61DCB"/>
    <w:rsid w:val="00E6678A"/>
    <w:rsid w:val="00E7457A"/>
    <w:rsid w:val="00E81505"/>
    <w:rsid w:val="00E820F3"/>
    <w:rsid w:val="00E84007"/>
    <w:rsid w:val="00E857CF"/>
    <w:rsid w:val="00E9000A"/>
    <w:rsid w:val="00E91D8D"/>
    <w:rsid w:val="00E971FC"/>
    <w:rsid w:val="00EA0B03"/>
    <w:rsid w:val="00EA2753"/>
    <w:rsid w:val="00EB1B09"/>
    <w:rsid w:val="00EC07FF"/>
    <w:rsid w:val="00EC19AE"/>
    <w:rsid w:val="00EC63C2"/>
    <w:rsid w:val="00EC65CE"/>
    <w:rsid w:val="00ED0CC3"/>
    <w:rsid w:val="00ED3671"/>
    <w:rsid w:val="00ED712D"/>
    <w:rsid w:val="00ED7C13"/>
    <w:rsid w:val="00EE36EA"/>
    <w:rsid w:val="00EE375A"/>
    <w:rsid w:val="00EE3B1B"/>
    <w:rsid w:val="00EE5E81"/>
    <w:rsid w:val="00EE6830"/>
    <w:rsid w:val="00EF6D74"/>
    <w:rsid w:val="00F01C52"/>
    <w:rsid w:val="00F01FA2"/>
    <w:rsid w:val="00F03ED0"/>
    <w:rsid w:val="00F04AD7"/>
    <w:rsid w:val="00F04EBE"/>
    <w:rsid w:val="00F05D3F"/>
    <w:rsid w:val="00F06E3A"/>
    <w:rsid w:val="00F1430F"/>
    <w:rsid w:val="00F16580"/>
    <w:rsid w:val="00F21F0C"/>
    <w:rsid w:val="00F261EE"/>
    <w:rsid w:val="00F34120"/>
    <w:rsid w:val="00F37A7F"/>
    <w:rsid w:val="00F37E51"/>
    <w:rsid w:val="00F42AFD"/>
    <w:rsid w:val="00F43021"/>
    <w:rsid w:val="00F44A83"/>
    <w:rsid w:val="00F5611E"/>
    <w:rsid w:val="00F600DA"/>
    <w:rsid w:val="00F605DB"/>
    <w:rsid w:val="00F647FE"/>
    <w:rsid w:val="00F710E8"/>
    <w:rsid w:val="00F72EB2"/>
    <w:rsid w:val="00F73D6B"/>
    <w:rsid w:val="00F7765F"/>
    <w:rsid w:val="00F82232"/>
    <w:rsid w:val="00F83BED"/>
    <w:rsid w:val="00F84649"/>
    <w:rsid w:val="00F8746A"/>
    <w:rsid w:val="00F9259B"/>
    <w:rsid w:val="00F939B6"/>
    <w:rsid w:val="00F95ABF"/>
    <w:rsid w:val="00F95C5F"/>
    <w:rsid w:val="00F96E95"/>
    <w:rsid w:val="00F97AD6"/>
    <w:rsid w:val="00FA12C5"/>
    <w:rsid w:val="00FA1884"/>
    <w:rsid w:val="00FA1ACF"/>
    <w:rsid w:val="00FA37A8"/>
    <w:rsid w:val="00FA6FBE"/>
    <w:rsid w:val="00FA7767"/>
    <w:rsid w:val="00FB015C"/>
    <w:rsid w:val="00FB3E0B"/>
    <w:rsid w:val="00FB4198"/>
    <w:rsid w:val="00FB52AA"/>
    <w:rsid w:val="00FB7816"/>
    <w:rsid w:val="00FC19FB"/>
    <w:rsid w:val="00FC2F58"/>
    <w:rsid w:val="00FC578C"/>
    <w:rsid w:val="00FC57E0"/>
    <w:rsid w:val="00FC6051"/>
    <w:rsid w:val="00FC71DA"/>
    <w:rsid w:val="00FC7811"/>
    <w:rsid w:val="00FD1B9A"/>
    <w:rsid w:val="00FD2046"/>
    <w:rsid w:val="00FD3BAD"/>
    <w:rsid w:val="00FD575A"/>
    <w:rsid w:val="00FE37F8"/>
    <w:rsid w:val="00FE5A16"/>
    <w:rsid w:val="00FE6636"/>
    <w:rsid w:val="00FF0566"/>
    <w:rsid w:val="00FF3525"/>
    <w:rsid w:val="01F48F64"/>
    <w:rsid w:val="036F36E2"/>
    <w:rsid w:val="0738A005"/>
    <w:rsid w:val="08A1C242"/>
    <w:rsid w:val="093B39B8"/>
    <w:rsid w:val="09ED01CC"/>
    <w:rsid w:val="0A4EFD2A"/>
    <w:rsid w:val="0C6DB465"/>
    <w:rsid w:val="0C95CFD4"/>
    <w:rsid w:val="100C2B71"/>
    <w:rsid w:val="1528A5DD"/>
    <w:rsid w:val="18FE361C"/>
    <w:rsid w:val="1ABF6713"/>
    <w:rsid w:val="1AFFF848"/>
    <w:rsid w:val="1F8B33A3"/>
    <w:rsid w:val="1FC02BC3"/>
    <w:rsid w:val="20FA6295"/>
    <w:rsid w:val="2111E385"/>
    <w:rsid w:val="23F212A8"/>
    <w:rsid w:val="26D2F9E6"/>
    <w:rsid w:val="279A4DF2"/>
    <w:rsid w:val="2A5FC3D1"/>
    <w:rsid w:val="2C1486FE"/>
    <w:rsid w:val="2E4611BB"/>
    <w:rsid w:val="331982DE"/>
    <w:rsid w:val="36A8CA3D"/>
    <w:rsid w:val="3EF1BA5F"/>
    <w:rsid w:val="40318E95"/>
    <w:rsid w:val="44B5BF13"/>
    <w:rsid w:val="4694085D"/>
    <w:rsid w:val="4780874D"/>
    <w:rsid w:val="4D0E7F5B"/>
    <w:rsid w:val="4DB12384"/>
    <w:rsid w:val="5315411B"/>
    <w:rsid w:val="538FA219"/>
    <w:rsid w:val="53C704DA"/>
    <w:rsid w:val="58BB5F4E"/>
    <w:rsid w:val="592EE471"/>
    <w:rsid w:val="5B6A4122"/>
    <w:rsid w:val="5BF30010"/>
    <w:rsid w:val="5F9F47C6"/>
    <w:rsid w:val="609B9EC0"/>
    <w:rsid w:val="63755307"/>
    <w:rsid w:val="63D33F82"/>
    <w:rsid w:val="64254DFB"/>
    <w:rsid w:val="64F48DED"/>
    <w:rsid w:val="64FD79E6"/>
    <w:rsid w:val="656F0FE3"/>
    <w:rsid w:val="65C11E5C"/>
    <w:rsid w:val="663F3323"/>
    <w:rsid w:val="6AA78516"/>
    <w:rsid w:val="6B38F9C9"/>
    <w:rsid w:val="6F48B222"/>
    <w:rsid w:val="7053CAC4"/>
    <w:rsid w:val="7077E48A"/>
    <w:rsid w:val="7362A71E"/>
    <w:rsid w:val="76DA4B0C"/>
    <w:rsid w:val="76EB574F"/>
    <w:rsid w:val="77A33DFF"/>
    <w:rsid w:val="784DAD1D"/>
    <w:rsid w:val="79E97D7E"/>
    <w:rsid w:val="7B333F66"/>
    <w:rsid w:val="7B8E25DC"/>
  </w:rsids>
  <m:mathPr>
    <m:mathFont m:val="Cambria Math"/>
    <m:brkBin m:val="before"/>
    <m:brkBinSub m:val="--"/>
    <m:smallFrac m:val="0"/>
    <m:dispDef/>
    <m:lMargin m:val="0"/>
    <m:rMargin m:val="0"/>
    <m:defJc m:val="centerGroup"/>
    <m:wrapIndent m:val="144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545FDF9-AE08-49A2-8E5E-42A1C6B28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2EEA"/>
    <w:rPr>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85AAB"/>
    <w:pPr>
      <w:tabs>
        <w:tab w:val="center" w:pos="4536"/>
        <w:tab w:val="right" w:pos="9072"/>
      </w:tabs>
    </w:pPr>
  </w:style>
  <w:style w:type="paragraph" w:styleId="Header">
    <w:name w:val="header"/>
    <w:basedOn w:val="Normal"/>
    <w:rsid w:val="00985AAB"/>
    <w:pPr>
      <w:tabs>
        <w:tab w:val="center" w:pos="4536"/>
        <w:tab w:val="right" w:pos="9072"/>
      </w:tabs>
    </w:pPr>
  </w:style>
  <w:style w:type="paragraph" w:styleId="ListParagraph">
    <w:name w:val="List Paragraph"/>
    <w:basedOn w:val="Normal"/>
    <w:uiPriority w:val="34"/>
    <w:qFormat/>
    <w:rsid w:val="00072CFA"/>
    <w:pPr>
      <w:spacing w:after="200" w:line="276" w:lineRule="auto"/>
      <w:ind w:left="720"/>
      <w:contextualSpacing/>
    </w:pPr>
    <w:rPr>
      <w:rFonts w:asciiTheme="minorHAnsi" w:eastAsiaTheme="minorHAnsi" w:hAnsiTheme="minorHAnsi" w:cstheme="minorBidi"/>
      <w:sz w:val="22"/>
      <w:szCs w:val="22"/>
    </w:rPr>
  </w:style>
  <w:style w:type="paragraph" w:styleId="FootnoteText">
    <w:name w:val="footnote text"/>
    <w:basedOn w:val="Normal"/>
    <w:link w:val="FootnoteTextChar"/>
    <w:uiPriority w:val="99"/>
    <w:semiHidden/>
    <w:unhideWhenUsed/>
    <w:rsid w:val="00167D49"/>
    <w:rPr>
      <w:sz w:val="20"/>
      <w:szCs w:val="20"/>
    </w:rPr>
  </w:style>
  <w:style w:type="character" w:customStyle="1" w:styleId="FootnoteTextChar">
    <w:name w:val="Footnote Text Char"/>
    <w:basedOn w:val="DefaultParagraphFont"/>
    <w:link w:val="FootnoteText"/>
    <w:uiPriority w:val="99"/>
    <w:semiHidden/>
    <w:rsid w:val="00167D49"/>
    <w:rPr>
      <w:lang w:val="en-GB"/>
    </w:rPr>
  </w:style>
  <w:style w:type="character" w:styleId="FootnoteReference">
    <w:name w:val="footnote reference"/>
    <w:basedOn w:val="DefaultParagraphFont"/>
    <w:uiPriority w:val="99"/>
    <w:semiHidden/>
    <w:unhideWhenUsed/>
    <w:rsid w:val="00167D49"/>
    <w:rPr>
      <w:vertAlign w:val="superscript"/>
    </w:rPr>
  </w:style>
  <w:style w:type="paragraph" w:customStyle="1" w:styleId="Default">
    <w:name w:val="Default"/>
    <w:rsid w:val="00A65C16"/>
    <w:pPr>
      <w:autoSpaceDE w:val="0"/>
      <w:autoSpaceDN w:val="0"/>
      <w:adjustRightInd w:val="0"/>
    </w:pPr>
    <w:rPr>
      <w:rFonts w:ascii="Arial" w:hAnsi="Arial" w:cs="Arial"/>
      <w:color w:val="000000"/>
      <w:sz w:val="24"/>
      <w:szCs w:val="24"/>
      <w:lang w:val="en-NZ"/>
    </w:rPr>
  </w:style>
  <w:style w:type="paragraph" w:styleId="BalloonText">
    <w:name w:val="Balloon Text"/>
    <w:basedOn w:val="Normal"/>
    <w:link w:val="BalloonTextChar"/>
    <w:uiPriority w:val="99"/>
    <w:semiHidden/>
    <w:unhideWhenUsed/>
    <w:rsid w:val="00E20E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E64"/>
    <w:rPr>
      <w:rFonts w:ascii="Segoe UI" w:hAnsi="Segoe UI" w:cs="Segoe UI"/>
      <w:sz w:val="18"/>
      <w:szCs w:val="18"/>
      <w:lang w:val="en-GB"/>
    </w:rPr>
  </w:style>
  <w:style w:type="character" w:styleId="CommentReference">
    <w:name w:val="annotation reference"/>
    <w:basedOn w:val="DefaultParagraphFont"/>
    <w:uiPriority w:val="99"/>
    <w:semiHidden/>
    <w:unhideWhenUsed/>
    <w:rsid w:val="008F45E6"/>
    <w:rPr>
      <w:sz w:val="16"/>
      <w:szCs w:val="16"/>
    </w:rPr>
  </w:style>
  <w:style w:type="paragraph" w:styleId="CommentText">
    <w:name w:val="annotation text"/>
    <w:basedOn w:val="Normal"/>
    <w:link w:val="CommentTextChar"/>
    <w:uiPriority w:val="99"/>
    <w:unhideWhenUsed/>
    <w:rsid w:val="008F45E6"/>
    <w:rPr>
      <w:sz w:val="20"/>
      <w:szCs w:val="20"/>
    </w:rPr>
  </w:style>
  <w:style w:type="character" w:customStyle="1" w:styleId="CommentTextChar">
    <w:name w:val="Comment Text Char"/>
    <w:basedOn w:val="DefaultParagraphFont"/>
    <w:link w:val="CommentText"/>
    <w:uiPriority w:val="99"/>
    <w:rsid w:val="008F45E6"/>
    <w:rPr>
      <w:lang w:val="en-GB"/>
    </w:rPr>
  </w:style>
  <w:style w:type="paragraph" w:styleId="CommentSubject">
    <w:name w:val="annotation subject"/>
    <w:basedOn w:val="CommentText"/>
    <w:next w:val="CommentText"/>
    <w:link w:val="CommentSubjectChar"/>
    <w:uiPriority w:val="99"/>
    <w:semiHidden/>
    <w:unhideWhenUsed/>
    <w:rsid w:val="008F45E6"/>
    <w:rPr>
      <w:b/>
      <w:bCs/>
    </w:rPr>
  </w:style>
  <w:style w:type="character" w:customStyle="1" w:styleId="CommentSubjectChar">
    <w:name w:val="Comment Subject Char"/>
    <w:basedOn w:val="CommentTextChar"/>
    <w:link w:val="CommentSubject"/>
    <w:uiPriority w:val="99"/>
    <w:semiHidden/>
    <w:rsid w:val="008F45E6"/>
    <w:rPr>
      <w:b/>
      <w:bCs/>
      <w:lang w:val="en-GB"/>
    </w:rPr>
  </w:style>
  <w:style w:type="character" w:customStyle="1" w:styleId="FooterChar">
    <w:name w:val="Footer Char"/>
    <w:basedOn w:val="DefaultParagraphFont"/>
    <w:link w:val="Footer"/>
    <w:uiPriority w:val="99"/>
    <w:rsid w:val="001755AF"/>
    <w:rPr>
      <w:sz w:val="24"/>
      <w:szCs w:val="24"/>
      <w:lang w:val="en-GB"/>
    </w:rPr>
  </w:style>
  <w:style w:type="paragraph" w:styleId="Revision">
    <w:name w:val="Revision"/>
    <w:hidden/>
    <w:uiPriority w:val="99"/>
    <w:semiHidden/>
    <w:rsid w:val="007F2090"/>
    <w:rPr>
      <w:sz w:val="24"/>
      <w:szCs w:val="24"/>
      <w:lang w:val="en-GB"/>
    </w:rPr>
  </w:style>
  <w:style w:type="character" w:styleId="Hyperlink">
    <w:name w:val="Hyperlink"/>
    <w:rsid w:val="00FD575A"/>
    <w:rPr>
      <w:color w:val="0563C1"/>
      <w:u w:val="single"/>
    </w:rPr>
  </w:style>
  <w:style w:type="character" w:customStyle="1" w:styleId="UnresolvedMention1">
    <w:name w:val="Unresolved Mention1"/>
    <w:basedOn w:val="DefaultParagraphFont"/>
    <w:uiPriority w:val="99"/>
    <w:semiHidden/>
    <w:unhideWhenUsed/>
    <w:rsid w:val="00EB1B09"/>
    <w:rPr>
      <w:color w:val="605E5C"/>
      <w:shd w:val="clear" w:color="auto" w:fill="E1DFDD"/>
    </w:rPr>
  </w:style>
  <w:style w:type="paragraph" w:styleId="BodyText">
    <w:name w:val="Body Text"/>
    <w:basedOn w:val="Normal"/>
    <w:link w:val="BodyTextChar"/>
    <w:uiPriority w:val="99"/>
    <w:semiHidden/>
    <w:unhideWhenUsed/>
    <w:rsid w:val="0020681C"/>
    <w:pPr>
      <w:spacing w:after="120"/>
    </w:pPr>
  </w:style>
  <w:style w:type="character" w:customStyle="1" w:styleId="BodyTextChar">
    <w:name w:val="Body Text Char"/>
    <w:basedOn w:val="DefaultParagraphFont"/>
    <w:link w:val="BodyText"/>
    <w:uiPriority w:val="99"/>
    <w:semiHidden/>
    <w:rsid w:val="0020681C"/>
    <w:rPr>
      <w:sz w:val="24"/>
      <w:szCs w:val="24"/>
      <w:lang w:val="en-GB"/>
    </w:rPr>
  </w:style>
  <w:style w:type="character" w:styleId="FollowedHyperlink">
    <w:name w:val="FollowedHyperlink"/>
    <w:basedOn w:val="DefaultParagraphFont"/>
    <w:uiPriority w:val="99"/>
    <w:semiHidden/>
    <w:unhideWhenUsed/>
    <w:rsid w:val="00A36C16"/>
    <w:rPr>
      <w:color w:val="800080" w:themeColor="followedHyperlink"/>
      <w:u w:val="single"/>
    </w:rPr>
  </w:style>
  <w:style w:type="table" w:styleId="TableGrid">
    <w:name w:val="Table Grid"/>
    <w:basedOn w:val="TableNormal"/>
    <w:uiPriority w:val="59"/>
    <w:rsid w:val="00AC207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6527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png"/><Relationship Id="rId18" Type="http://schemas.microsoft.com/office/2016/09/relationships/commentsIds" Target="commentsId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fao.org/fao-who-codexalimentarius/resources/circular-letters/en/" TargetMode="External"/><Relationship Id="rId17" Type="http://schemas.microsoft.com/office/2018/08/relationships/commentsExtensible" Target="commentsExtensi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Codex Meeting Document" ma:contentTypeID="0x0101003D0A2E60EDFA1E4EAD3B5F009E16D3BB00D4B0BA8BC8F1D8488A2861CA7E34BBAC" ma:contentTypeVersion="47" ma:contentTypeDescription="" ma:contentTypeScope="" ma:versionID="712116d782bcb2ad1f9985fa174311d2">
  <xsd:schema xmlns:xsd="http://www.w3.org/2001/XMLSchema" xmlns:xs="http://www.w3.org/2001/XMLSchema" xmlns:p="http://schemas.microsoft.com/office/2006/metadata/properties" xmlns:ns2="2c2a5fa5-d186-400a-b6f8-b42dcfa0cc3b" xmlns:ns3="cb026757-2c08-4a66-a447-497073708ad3" xmlns:ns4="http://schemas.microsoft.com/sharepoint/v4" targetNamespace="http://schemas.microsoft.com/office/2006/metadata/properties" ma:root="true" ma:fieldsID="4400c148b9ba3b3d84add8abded71647" ns2:_="" ns3:_="" ns4:_="">
    <xsd:import namespace="2c2a5fa5-d186-400a-b6f8-b42dcfa0cc3b"/>
    <xsd:import namespace="cb026757-2c08-4a66-a447-497073708ad3"/>
    <xsd:import namespace="http://schemas.microsoft.com/sharepoint/v4"/>
    <xsd:element name="properties">
      <xsd:complexType>
        <xsd:sequence>
          <xsd:element name="documentManagement">
            <xsd:complexType>
              <xsd:all>
                <xsd:element ref="ns2:Codex_x0020_Description" minOccurs="0"/>
                <xsd:element ref="ns2:Codex_x0020_Language" minOccurs="0"/>
                <xsd:element ref="ns2:Document_x0020_Reference" minOccurs="0"/>
                <xsd:element ref="ns2:Agenda_x0020_Item_x0020_Number" minOccurs="0"/>
                <xsd:element ref="ns2:Note" minOccurs="0"/>
                <xsd:element ref="ns2:Codex_x0020_Type" minOccurs="0"/>
                <xsd:element ref="ns2:Include_x0020_Newsletter" minOccurs="0"/>
                <xsd:element ref="ns2:Include_x0020_Newsletter_x0020_Date" minOccurs="0"/>
                <xsd:element ref="ns2:Upload_x0020_Date" minOccurs="0"/>
                <xsd:element ref="ns2:Meeting_x0020_Sorting_x0020_date" minOccurs="0"/>
                <xsd:element ref="ns3:Order_comm" minOccurs="0"/>
                <xsd:element ref="ns2:_dlc_DocId" minOccurs="0"/>
                <xsd:element ref="ns2:_dlc_DocIdUrl" minOccurs="0"/>
                <xsd:element ref="ns2:_dlc_DocIdPersistId" minOccurs="0"/>
                <xsd:element ref="ns3:Closing_x0020_Date"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2a5fa5-d186-400a-b6f8-b42dcfa0cc3b" elementFormDefault="qualified">
    <xsd:import namespace="http://schemas.microsoft.com/office/2006/documentManagement/types"/>
    <xsd:import namespace="http://schemas.microsoft.com/office/infopath/2007/PartnerControls"/>
    <xsd:element name="Codex_x0020_Description" ma:index="1" nillable="true" ma:displayName="Codex Description" ma:internalName="Codex_x0020_Description">
      <xsd:simpleType>
        <xsd:restriction base="dms:Note"/>
      </xsd:simpleType>
    </xsd:element>
    <xsd:element name="Codex_x0020_Language" ma:index="2" nillable="true" ma:displayName="Language" ma:list="{d79df143-ef0d-4626-9ad4-2588188c7117}" ma:internalName="Codex_x0020_Language" ma:readOnly="false" ma:showField="Language_en" ma:web="2c2a5fa5-d186-400a-b6f8-b42dcfa0cc3b">
      <xsd:simpleType>
        <xsd:restriction base="dms:Lookup"/>
      </xsd:simpleType>
    </xsd:element>
    <xsd:element name="Document_x0020_Reference" ma:index="3" nillable="true" ma:displayName="Document Reference" ma:internalName="Document_x0020_Reference">
      <xsd:simpleType>
        <xsd:restriction base="dms:Text">
          <xsd:maxLength value="255"/>
        </xsd:restriction>
      </xsd:simpleType>
    </xsd:element>
    <xsd:element name="Agenda_x0020_Item_x0020_Number" ma:index="4" nillable="true" ma:displayName="Agenda Item Number" ma:indexed="true" ma:internalName="Agenda_x0020_Item_x0020_Number" ma:percentage="FALSE">
      <xsd:simpleType>
        <xsd:restriction base="dms:Number"/>
      </xsd:simpleType>
    </xsd:element>
    <xsd:element name="Note" ma:index="5" nillable="true" ma:displayName="Note" ma:internalName="Note">
      <xsd:simpleType>
        <xsd:restriction base="dms:Note"/>
      </xsd:simpleType>
    </xsd:element>
    <xsd:element name="Codex_x0020_Type" ma:index="6" nillable="true" ma:displayName="Doc Type" ma:list="{2fea5485-f811-4a9b-afaf-95475db39bda}" ma:internalName="Codex_x0020_Type" ma:readOnly="false" ma:showField="Title" ma:web="2c2a5fa5-d186-400a-b6f8-b42dcfa0cc3b">
      <xsd:simpleType>
        <xsd:restriction base="dms:Lookup"/>
      </xsd:simpleType>
    </xsd:element>
    <xsd:element name="Include_x0020_Newsletter" ma:index="7" nillable="true" ma:displayName="Include Newsletter" ma:default="0" ma:internalName="Include_x0020_Newsletter">
      <xsd:simpleType>
        <xsd:restriction base="dms:Boolean"/>
      </xsd:simpleType>
    </xsd:element>
    <xsd:element name="Include_x0020_Newsletter_x0020_Date" ma:index="8" nillable="true" ma:displayName="Include Newsletter Date" ma:format="DateOnly" ma:internalName="Include_x0020_Newsletter_x0020_Date">
      <xsd:simpleType>
        <xsd:restriction base="dms:DateTime"/>
      </xsd:simpleType>
    </xsd:element>
    <xsd:element name="Upload_x0020_Date" ma:index="9" nillable="true" ma:displayName="Upload Date" ma:default="[today]" ma:format="DateOnly" ma:internalName="Upload_x0020_Date">
      <xsd:simpleType>
        <xsd:restriction base="dms:DateTime"/>
      </xsd:simpleType>
    </xsd:element>
    <xsd:element name="Meeting_x0020_Sorting_x0020_date" ma:index="10" nillable="true" ma:displayName="Sorting Date" ma:format="DateOnly" ma:internalName="Meeting_x0020_Sorting_x0020_date" ma:readOnly="false">
      <xsd:simpleType>
        <xsd:restriction base="dms:DateTime"/>
      </xsd:simpleType>
    </xsd:element>
    <xsd:element name="_dlc_DocId" ma:index="13" nillable="true" ma:displayName="Document ID Value" ma:description="The value of the document ID assigned to this item." ma:internalName="_dlc_DocId" ma:readOnly="true">
      <xsd:simpleType>
        <xsd:restriction base="dms:Text"/>
      </xsd:simpleType>
    </xsd:element>
    <xsd:element name="_dlc_DocIdUrl" ma:index="14"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5"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b026757-2c08-4a66-a447-497073708ad3" elementFormDefault="qualified">
    <xsd:import namespace="http://schemas.microsoft.com/office/2006/documentManagement/types"/>
    <xsd:import namespace="http://schemas.microsoft.com/office/infopath/2007/PartnerControls"/>
    <xsd:element name="Order_comm" ma:index="11" nillable="true" ma:displayName="Order" ma:list="{e50ac86d-101a-41c5-9e7e-3a74b848b3fe}" ma:internalName="Order_comm" ma:showField="Order0">
      <xsd:simpleType>
        <xsd:restriction base="dms:Lookup"/>
      </xsd:simpleType>
    </xsd:element>
    <xsd:element name="Closing_x0020_Date" ma:index="22" nillable="true" ma:displayName="Closing Date" ma:description="Date set to close the Registration System" ma:format="DateOnly" ma:hidden="true" ma:internalName="Closing_x0020_Date"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displayName="Referenc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Include_x0020_Newsletter xmlns="2c2a5fa5-d186-400a-b6f8-b42dcfa0cc3b">false</Include_x0020_Newsletter>
    <Closing_x0020_Date xmlns="cb026757-2c08-4a66-a447-497073708ad3" xsi:nil="true"/>
    <Codex_x0020_Language xmlns="2c2a5fa5-d186-400a-b6f8-b42dcfa0cc3b">15</Codex_x0020_Language>
    <Codex_x0020_Type xmlns="2c2a5fa5-d186-400a-b6f8-b42dcfa0cc3b">6</Codex_x0020_Type>
    <Agenda_x0020_Item_x0020_Number xmlns="2c2a5fa5-d186-400a-b6f8-b42dcfa0cc3b">4</Agenda_x0020_Item_x0020_Number>
    <Meeting_x0020_Sorting_x0020_date xmlns="2c2a5fa5-d186-400a-b6f8-b42dcfa0cc3b">2023-02-23T00:00:00+00:00</Meeting_x0020_Sorting_x0020_date>
    <IconOverlay xmlns="http://schemas.microsoft.com/sharepoint/v4" xsi:nil="true"/>
    <Document_x0020_Reference xmlns="2c2a5fa5-d186-400a-b6f8-b42dcfa0cc3b">CX/FICS 23/26/4</Document_x0020_Reference>
    <Order_comm xmlns="cb026757-2c08-4a66-a447-497073708ad3" xsi:nil="true"/>
    <Include_x0020_Newsletter_x0020_Date xmlns="2c2a5fa5-d186-400a-b6f8-b42dcfa0cc3b" xsi:nil="true"/>
    <Note xmlns="2c2a5fa5-d186-400a-b6f8-b42dcfa0cc3b" xsi:nil="true"/>
    <Upload_x0020_Date xmlns="2c2a5fa5-d186-400a-b6f8-b42dcfa0cc3b">2023-02-23T00:00:00+00:00</Upload_x0020_Date>
    <Codex_x0020_Description xmlns="2c2a5fa5-d186-400a-b6f8-b42dcfa0cc3b">Proposed draft guidelines on recognition and maintenance of equivalence of National Food Control Systems (NFCS) </Codex_x0020_Description>
    <_dlc_DocId xmlns="2c2a5fa5-d186-400a-b6f8-b42dcfa0cc3b">ZKPQ54UJMECD-9-89772</_dlc_DocId>
    <_dlc_DocIdUrl xmlns="2c2a5fa5-d186-400a-b6f8-b42dcfa0cc3b">
      <Url>https://workspace.fao.org/sites/codex/_layouts/15/DocIdRedir.aspx?ID=ZKPQ54UJMECD-9-89772</Url>
      <Description>ZKPQ54UJMECD-9-89772</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FA996-8455-411E-B3D8-DB68D6CEF9CA}">
  <ds:schemaRefs>
    <ds:schemaRef ds:uri="http://schemas.microsoft.com/sharepoint/v3/contenttype/forms"/>
  </ds:schemaRefs>
</ds:datastoreItem>
</file>

<file path=customXml/itemProps2.xml><?xml version="1.0" encoding="utf-8"?>
<ds:datastoreItem xmlns:ds="http://schemas.openxmlformats.org/officeDocument/2006/customXml" ds:itemID="{0E4A996C-22BC-4AAC-95B4-2231441631E3}">
  <ds:schemaRefs>
    <ds:schemaRef ds:uri="http://schemas.microsoft.com/sharepoint/events"/>
  </ds:schemaRefs>
</ds:datastoreItem>
</file>

<file path=customXml/itemProps3.xml><?xml version="1.0" encoding="utf-8"?>
<ds:datastoreItem xmlns:ds="http://schemas.openxmlformats.org/officeDocument/2006/customXml" ds:itemID="{D5DC8440-E1A3-4FEF-BDCE-B7BC4C88BAD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2a5fa5-d186-400a-b6f8-b42dcfa0cc3b"/>
    <ds:schemaRef ds:uri="cb026757-2c08-4a66-a447-497073708ad3"/>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AAA88EC-FCD6-4D64-8DDD-05C85EACE08A}">
  <ds:schemaRefs>
    <ds:schemaRef ds:uri="http://schemas.microsoft.com/office/2006/metadata/properties"/>
    <ds:schemaRef ds:uri="http://schemas.microsoft.com/office/infopath/2007/PartnerControls"/>
    <ds:schemaRef ds:uri="2c2a5fa5-d186-400a-b6f8-b42dcfa0cc3b"/>
    <ds:schemaRef ds:uri="cb026757-2c08-4a66-a447-497073708ad3"/>
    <ds:schemaRef ds:uri="http://schemas.microsoft.com/sharepoint/v4"/>
  </ds:schemaRefs>
</ds:datastoreItem>
</file>

<file path=customXml/itemProps5.xml><?xml version="1.0" encoding="utf-8"?>
<ds:datastoreItem xmlns:ds="http://schemas.openxmlformats.org/officeDocument/2006/customXml" ds:itemID="{50311035-213D-45E5-91D8-34BEB7B6CE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3155</Words>
  <Characters>17985</Characters>
  <Application>Microsoft Office Word</Application>
  <DocSecurity>8</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21098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Gailiute, Daiva (AGNC)</dc:creator>
  <cp:keywords/>
  <dc:description/>
  <cp:lastModifiedBy>USER</cp:lastModifiedBy>
  <cp:revision>2</cp:revision>
  <cp:lastPrinted>2021-02-22T09:02:00Z</cp:lastPrinted>
  <dcterms:created xsi:type="dcterms:W3CDTF">2023-03-12T05:20:00Z</dcterms:created>
  <dcterms:modified xsi:type="dcterms:W3CDTF">2023-03-12T05:20:00Z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0x0101003D0A2E60EDFA1E4EAD3B5F009E16D3BB00D4B0BA8BC8F1D8488A2861CA7E34BBAC</vt:lpwstr>
  </property>
  <property fmtid="{D5CDD505-2E9C-101B-9397-08002B2CF9AE}" pid="3" name="MediaServiceImageTags">
    <vt:lpwstr/>
  </property>
  <property fmtid="{D5CDD505-2E9C-101B-9397-08002B2CF9AE}" pid="4" name="_dlc_DocIdItemGuid">
    <vt:lpwstr>8e01a92e-d407-4c4b-a756-dbb29f910909</vt:lpwstr>
  </property>
</Properties>
</file>